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line="240" w:lineRule="auto"/>
        <w:ind w:left="0" w:leftChars="0" w:right="640"/>
        <w:jc w:val="center"/>
        <w:textAlignment w:val="auto"/>
        <w:outlineLvl w:val="9"/>
        <w:rPr>
          <w:rFonts w:hint="eastAsia" w:asciiTheme="minorEastAsia" w:hAnsiTheme="minorEastAsia" w:eastAsiaTheme="minorEastAsia" w:cstheme="minorEastAsia"/>
          <w:b/>
          <w:bCs/>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after="161" w:afterLines="50" w:line="240" w:lineRule="auto"/>
        <w:ind w:left="0" w:leftChars="0" w:right="641"/>
        <w:jc w:val="center"/>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44"/>
          <w:szCs w:val="44"/>
          <w:lang w:val="en-US" w:eastAsia="zh-CN"/>
        </w:rPr>
        <w:t>大连金普新区交通运输局</w:t>
      </w:r>
      <w:r>
        <w:rPr>
          <w:rFonts w:hint="eastAsia" w:asciiTheme="minorEastAsia" w:hAnsiTheme="minorEastAsia" w:eastAsiaTheme="minorEastAsia" w:cstheme="minorEastAsia"/>
          <w:b/>
          <w:bCs/>
          <w:sz w:val="44"/>
          <w:szCs w:val="44"/>
          <w:lang w:eastAsia="zh-CN"/>
        </w:rPr>
        <w:t>202</w:t>
      </w:r>
      <w:r>
        <w:rPr>
          <w:rFonts w:hint="eastAsia" w:asciiTheme="minorEastAsia" w:hAnsiTheme="minorEastAsia" w:eastAsiaTheme="minorEastAsia" w:cstheme="minorEastAsia"/>
          <w:b/>
          <w:bCs/>
          <w:sz w:val="44"/>
          <w:szCs w:val="44"/>
          <w:lang w:val="en-US" w:eastAsia="zh-CN"/>
        </w:rPr>
        <w:t>4</w:t>
      </w:r>
      <w:r>
        <w:rPr>
          <w:rFonts w:hint="eastAsia" w:asciiTheme="minorEastAsia" w:hAnsiTheme="minorEastAsia" w:eastAsiaTheme="minorEastAsia" w:cstheme="minorEastAsia"/>
          <w:b/>
          <w:bCs/>
          <w:sz w:val="44"/>
          <w:szCs w:val="44"/>
        </w:rPr>
        <w:t>年</w:t>
      </w:r>
      <w:r>
        <w:rPr>
          <w:rFonts w:hint="eastAsia" w:asciiTheme="minorEastAsia" w:hAnsiTheme="minorEastAsia" w:eastAsiaTheme="minorEastAsia" w:cstheme="minorEastAsia"/>
          <w:b/>
          <w:bCs/>
          <w:sz w:val="44"/>
          <w:szCs w:val="44"/>
          <w:lang w:eastAsia="zh-CN"/>
        </w:rPr>
        <w:t>涉企行政执法检查计划</w:t>
      </w:r>
    </w:p>
    <w:tbl>
      <w:tblPr>
        <w:tblStyle w:val="7"/>
        <w:tblW w:w="13957" w:type="dxa"/>
        <w:tblInd w:w="-45" w:type="dxa"/>
        <w:tblLayout w:type="fixed"/>
        <w:tblCellMar>
          <w:top w:w="0" w:type="dxa"/>
          <w:left w:w="108" w:type="dxa"/>
          <w:bottom w:w="0" w:type="dxa"/>
          <w:right w:w="108" w:type="dxa"/>
        </w:tblCellMar>
      </w:tblPr>
      <w:tblGrid>
        <w:gridCol w:w="1072"/>
        <w:gridCol w:w="1438"/>
        <w:gridCol w:w="1600"/>
        <w:gridCol w:w="2252"/>
        <w:gridCol w:w="4108"/>
        <w:gridCol w:w="1005"/>
        <w:gridCol w:w="988"/>
        <w:gridCol w:w="1494"/>
      </w:tblGrid>
      <w:tr>
        <w:tblPrEx>
          <w:tblCellMar>
            <w:top w:w="0" w:type="dxa"/>
            <w:left w:w="108" w:type="dxa"/>
            <w:bottom w:w="0" w:type="dxa"/>
            <w:right w:w="108" w:type="dxa"/>
          </w:tblCellMar>
        </w:tblPrEx>
        <w:trPr>
          <w:trHeight w:val="915" w:hRule="atLeast"/>
        </w:trPr>
        <w:tc>
          <w:tcPr>
            <w:tcW w:w="1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序号</w:t>
            </w:r>
          </w:p>
        </w:tc>
        <w:tc>
          <w:tcPr>
            <w:tcW w:w="14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执法机关</w:t>
            </w:r>
          </w:p>
        </w:tc>
        <w:tc>
          <w:tcPr>
            <w:tcW w:w="16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检查对象</w:t>
            </w:r>
          </w:p>
        </w:tc>
        <w:tc>
          <w:tcPr>
            <w:tcW w:w="22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检查</w:t>
            </w:r>
            <w:r>
              <w:rPr>
                <w:rFonts w:hint="eastAsia" w:asciiTheme="minorEastAsia" w:hAnsiTheme="minorEastAsia" w:eastAsiaTheme="minorEastAsia" w:cstheme="minorEastAsia"/>
                <w:kern w:val="0"/>
                <w:sz w:val="28"/>
                <w:szCs w:val="28"/>
                <w:lang w:eastAsia="zh-CN"/>
              </w:rPr>
              <w:t>内容</w:t>
            </w:r>
          </w:p>
        </w:tc>
        <w:tc>
          <w:tcPr>
            <w:tcW w:w="41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检查依据</w:t>
            </w: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检查</w:t>
            </w:r>
            <w:r>
              <w:rPr>
                <w:rFonts w:hint="eastAsia" w:asciiTheme="minorEastAsia" w:hAnsiTheme="minorEastAsia" w:eastAsiaTheme="minorEastAsia" w:cstheme="minorEastAsia"/>
                <w:kern w:val="0"/>
                <w:sz w:val="28"/>
                <w:szCs w:val="28"/>
                <w:lang w:eastAsia="zh-CN"/>
              </w:rPr>
              <w:t>时间</w:t>
            </w:r>
          </w:p>
        </w:tc>
        <w:tc>
          <w:tcPr>
            <w:tcW w:w="9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检查</w:t>
            </w:r>
            <w:r>
              <w:rPr>
                <w:rFonts w:hint="eastAsia" w:asciiTheme="minorEastAsia" w:hAnsiTheme="minorEastAsia" w:eastAsiaTheme="minorEastAsia" w:cstheme="minorEastAsia"/>
                <w:kern w:val="0"/>
                <w:sz w:val="28"/>
                <w:szCs w:val="28"/>
                <w:lang w:eastAsia="zh-CN"/>
              </w:rPr>
              <w:t>方式</w:t>
            </w:r>
          </w:p>
        </w:tc>
        <w:tc>
          <w:tcPr>
            <w:tcW w:w="1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联合部门</w:t>
            </w:r>
          </w:p>
        </w:tc>
      </w:tr>
      <w:tr>
        <w:tblPrEx>
          <w:tblCellMar>
            <w:top w:w="0" w:type="dxa"/>
            <w:left w:w="108" w:type="dxa"/>
            <w:bottom w:w="0" w:type="dxa"/>
            <w:right w:w="108" w:type="dxa"/>
          </w:tblCellMar>
        </w:tblPrEx>
        <w:trPr>
          <w:trHeight w:val="421" w:hRule="atLeast"/>
        </w:trPr>
        <w:tc>
          <w:tcPr>
            <w:tcW w:w="107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0"/>
                <w:sz w:val="18"/>
                <w:szCs w:val="18"/>
              </w:rPr>
            </w:pPr>
          </w:p>
        </w:tc>
        <w:tc>
          <w:tcPr>
            <w:tcW w:w="14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金普新区交通运输局</w:t>
            </w:r>
          </w:p>
        </w:tc>
        <w:tc>
          <w:tcPr>
            <w:tcW w:w="16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0"/>
                <w:sz w:val="18"/>
                <w:szCs w:val="18"/>
              </w:rPr>
            </w:pPr>
            <w:r>
              <w:rPr>
                <w:rFonts w:hint="eastAsia" w:ascii="宋体" w:hAnsi="宋体" w:eastAsia="宋体" w:cs="宋体"/>
                <w:sz w:val="18"/>
                <w:szCs w:val="18"/>
              </w:rPr>
              <w:t>道路运输经营及道路运输相关业企业（26家）</w:t>
            </w:r>
          </w:p>
        </w:tc>
        <w:tc>
          <w:tcPr>
            <w:tcW w:w="22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kern w:val="0"/>
                <w:sz w:val="18"/>
                <w:szCs w:val="18"/>
              </w:rPr>
            </w:pPr>
            <w:r>
              <w:rPr>
                <w:rFonts w:hint="eastAsia" w:ascii="宋体" w:hAnsi="宋体" w:eastAsia="宋体" w:cs="宋体"/>
                <w:color w:val="000000"/>
                <w:kern w:val="0"/>
                <w:sz w:val="18"/>
                <w:szCs w:val="18"/>
              </w:rPr>
              <w:t>企业资质条件</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安全生产主体责任</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从业人员资质条件</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车辆资质条件</w:t>
            </w:r>
            <w:r>
              <w:rPr>
                <w:rFonts w:hint="eastAsia" w:ascii="宋体" w:hAnsi="宋体" w:eastAsia="宋体" w:cs="宋体"/>
                <w:color w:val="000000"/>
                <w:kern w:val="0"/>
                <w:sz w:val="18"/>
                <w:szCs w:val="18"/>
                <w:lang w:eastAsia="zh-CN"/>
              </w:rPr>
              <w:t>等</w:t>
            </w:r>
          </w:p>
        </w:tc>
        <w:tc>
          <w:tcPr>
            <w:tcW w:w="410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kern w:val="0"/>
                <w:sz w:val="18"/>
                <w:szCs w:val="18"/>
              </w:rPr>
            </w:pPr>
            <w:r>
              <w:rPr>
                <w:rFonts w:hint="eastAsia" w:ascii="宋体" w:hAnsi="宋体" w:eastAsia="宋体" w:cs="宋体"/>
                <w:b w:val="0"/>
                <w:bCs w:val="0"/>
                <w:color w:val="auto"/>
                <w:kern w:val="2"/>
                <w:sz w:val="18"/>
                <w:szCs w:val="18"/>
                <w:lang w:val="en-US" w:eastAsia="zh-CN" w:bidi="ar-SA"/>
              </w:rPr>
              <w:t>《中华人民共和国道路运输条例》第七条，“</w:t>
            </w:r>
            <w:r>
              <w:rPr>
                <w:rFonts w:hint="eastAsia" w:ascii="宋体" w:hAnsi="宋体" w:eastAsia="宋体" w:cs="宋体"/>
                <w:color w:val="000000"/>
                <w:kern w:val="0"/>
                <w:sz w:val="18"/>
                <w:szCs w:val="18"/>
                <w:lang w:eastAsia="zh-CN"/>
              </w:rPr>
              <w:t xml:space="preserve"> 县级以上地方人民政府交通运输主管部门负责本行政区域的道路运输管理工作”；</w:t>
            </w:r>
            <w:r>
              <w:rPr>
                <w:rFonts w:hint="eastAsia" w:ascii="宋体" w:hAnsi="宋体" w:eastAsia="宋体" w:cs="宋体"/>
                <w:color w:val="000000" w:themeColor="text1"/>
                <w:sz w:val="18"/>
                <w:szCs w:val="18"/>
                <w14:textFill>
                  <w14:solidFill>
                    <w14:schemeClr w14:val="tx1"/>
                  </w14:solidFill>
                </w14:textFill>
              </w:rPr>
              <w:t>第五十八条</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县级以上人民政府交通运输主管部门的工作人员应当严格按照职责权限和程序进行监督检查</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b w:val="0"/>
                <w:bCs w:val="0"/>
                <w:color w:val="auto"/>
                <w:kern w:val="2"/>
                <w:sz w:val="18"/>
                <w:szCs w:val="18"/>
                <w:lang w:val="en-US" w:eastAsia="zh-CN" w:bidi="ar-SA"/>
              </w:rPr>
              <w:t>第六十条，“</w:t>
            </w:r>
            <w:r>
              <w:rPr>
                <w:rFonts w:hint="eastAsia" w:ascii="宋体" w:hAnsi="宋体" w:eastAsia="宋体" w:cs="宋体"/>
                <w:color w:val="000000" w:themeColor="text1"/>
                <w:sz w:val="18"/>
                <w:szCs w:val="18"/>
                <w14:textFill>
                  <w14:solidFill>
                    <w14:schemeClr w14:val="tx1"/>
                  </w14:solidFill>
                </w14:textFill>
              </w:rPr>
              <w:t>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b w:val="0"/>
                <w:bCs w:val="0"/>
                <w:color w:val="auto"/>
                <w:kern w:val="2"/>
                <w:sz w:val="18"/>
                <w:szCs w:val="18"/>
                <w:lang w:val="en-US" w:eastAsia="zh-CN" w:bidi="ar-SA"/>
              </w:rPr>
              <w:t>”</w:t>
            </w:r>
          </w:p>
        </w:tc>
        <w:tc>
          <w:tcPr>
            <w:tcW w:w="100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color w:val="auto"/>
                <w:kern w:val="2"/>
                <w:sz w:val="18"/>
                <w:szCs w:val="18"/>
                <w:lang w:val="en-US" w:eastAsia="zh-CN" w:bidi="ar-SA"/>
              </w:rPr>
              <w:t>2月—11月</w:t>
            </w:r>
          </w:p>
        </w:tc>
        <w:tc>
          <w:tcPr>
            <w:tcW w:w="9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0"/>
                <w:sz w:val="18"/>
                <w:szCs w:val="18"/>
                <w:lang w:eastAsia="zh-CN"/>
              </w:rPr>
            </w:pPr>
            <w:r>
              <w:rPr>
                <w:rFonts w:hint="eastAsia"/>
                <w:sz w:val="18"/>
                <w:szCs w:val="18"/>
              </w:rPr>
              <w:t>现场调阅审查</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2"/>
                <w:sz w:val="18"/>
                <w:szCs w:val="18"/>
                <w:lang w:val="en-US" w:eastAsia="zh-CN" w:bidi="ar-SA"/>
              </w:rPr>
              <w:t>市场监督管理部门</w:t>
            </w:r>
          </w:p>
        </w:tc>
      </w:tr>
      <w:tr>
        <w:tblPrEx>
          <w:tblCellMar>
            <w:top w:w="0" w:type="dxa"/>
            <w:left w:w="108" w:type="dxa"/>
            <w:bottom w:w="0" w:type="dxa"/>
            <w:right w:w="108" w:type="dxa"/>
          </w:tblCellMar>
        </w:tblPrEx>
        <w:trPr>
          <w:trHeight w:val="555" w:hRule="atLeast"/>
        </w:trPr>
        <w:tc>
          <w:tcPr>
            <w:tcW w:w="107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w:t>
            </w:r>
          </w:p>
        </w:tc>
        <w:tc>
          <w:tcPr>
            <w:tcW w:w="14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金普新区交通运输局</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水路运输企业</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eastAsia="宋体" w:asciiTheme="minorEastAsia" w:hAnsiTheme="minorEastAsia" w:cstheme="minorEastAsia"/>
                <w:kern w:val="0"/>
                <w:sz w:val="18"/>
                <w:szCs w:val="18"/>
                <w:lang w:val="en-US" w:eastAsia="zh-CN"/>
              </w:rPr>
            </w:pP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t>2家</w:t>
            </w:r>
            <w:r>
              <w:rPr>
                <w:rFonts w:hint="eastAsia" w:ascii="宋体" w:hAnsi="宋体" w:eastAsia="宋体" w:cs="宋体"/>
                <w:kern w:val="0"/>
                <w:sz w:val="18"/>
                <w:szCs w:val="18"/>
                <w:lang w:val="en-US" w:eastAsia="zh-CN"/>
              </w:rPr>
              <w:t>)</w:t>
            </w:r>
          </w:p>
        </w:tc>
        <w:tc>
          <w:tcPr>
            <w:tcW w:w="2252" w:type="dxa"/>
            <w:tcBorders>
              <w:top w:val="nil"/>
              <w:left w:val="nil"/>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both"/>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lang w:eastAsia="zh-CN"/>
              </w:rPr>
              <w:t>企业</w:t>
            </w:r>
            <w:r>
              <w:rPr>
                <w:rFonts w:hint="eastAsia" w:ascii="宋体" w:hAnsi="宋体" w:eastAsia="宋体" w:cs="宋体"/>
                <w:kern w:val="0"/>
                <w:sz w:val="18"/>
                <w:szCs w:val="18"/>
              </w:rPr>
              <w:t>经营行为</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经营资质</w:t>
            </w:r>
            <w:r>
              <w:rPr>
                <w:rFonts w:hint="eastAsia" w:ascii="宋体" w:hAnsi="宋体" w:eastAsia="宋体" w:cs="宋体"/>
                <w:kern w:val="0"/>
                <w:sz w:val="18"/>
                <w:szCs w:val="18"/>
                <w:lang w:eastAsia="zh-CN"/>
              </w:rPr>
              <w:t>情况等</w:t>
            </w:r>
          </w:p>
        </w:tc>
        <w:tc>
          <w:tcPr>
            <w:tcW w:w="41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18"/>
                <w:szCs w:val="18"/>
              </w:rPr>
            </w:pPr>
            <w:r>
              <w:rPr>
                <w:rFonts w:hint="eastAsia" w:ascii="宋体" w:hAnsi="宋体" w:eastAsia="宋体" w:cs="宋体"/>
                <w:color w:val="000000"/>
                <w:kern w:val="0"/>
                <w:sz w:val="18"/>
                <w:szCs w:val="18"/>
              </w:rPr>
              <w:t>《国内水路运输管理条例》第四条</w:t>
            </w:r>
            <w:r>
              <w:rPr>
                <w:rFonts w:hint="eastAsia" w:ascii="宋体" w:hAnsi="宋体" w:eastAsia="宋体" w:cs="宋体"/>
                <w:color w:val="000000"/>
                <w:kern w:val="0"/>
                <w:sz w:val="18"/>
                <w:szCs w:val="18"/>
                <w:lang w:eastAsia="zh-CN"/>
              </w:rPr>
              <w:t>，“</w:t>
            </w:r>
            <w:r>
              <w:rPr>
                <w:rFonts w:hint="eastAsia" w:ascii="宋体" w:hAnsi="宋体" w:eastAsia="宋体" w:cs="宋体"/>
                <w:color w:val="000000" w:themeColor="text1"/>
                <w:sz w:val="18"/>
                <w:szCs w:val="18"/>
                <w14:textFill>
                  <w14:solidFill>
                    <w14:schemeClr w14:val="tx1"/>
                  </w14:solidFill>
                </w14:textFill>
              </w:rPr>
              <w:t>县级以上地方人民政府交通运输主管部门主</w:t>
            </w:r>
            <w:bookmarkStart w:id="0" w:name="_GoBack"/>
            <w:bookmarkEnd w:id="0"/>
            <w:r>
              <w:rPr>
                <w:rFonts w:hint="eastAsia" w:ascii="宋体" w:hAnsi="宋体" w:eastAsia="宋体" w:cs="宋体"/>
                <w:color w:val="000000" w:themeColor="text1"/>
                <w:sz w:val="18"/>
                <w:szCs w:val="18"/>
                <w14:textFill>
                  <w14:solidFill>
                    <w14:schemeClr w14:val="tx1"/>
                  </w14:solidFill>
                </w14:textFill>
              </w:rPr>
              <w:t>管本行政区域的水路运输管理工作。县级以上地方人民政府负责水路运输管理的部门或者机构(以下统称负责水路运输管理的部门)承担本条例规定的水路运输管理工作</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kern w:val="0"/>
                <w:sz w:val="18"/>
                <w:szCs w:val="18"/>
              </w:rPr>
              <w:t>第五条</w:t>
            </w:r>
            <w:r>
              <w:rPr>
                <w:rFonts w:hint="eastAsia" w:ascii="宋体" w:hAnsi="宋体" w:eastAsia="宋体" w:cs="宋体"/>
                <w:color w:val="000000"/>
                <w:kern w:val="0"/>
                <w:sz w:val="18"/>
                <w:szCs w:val="18"/>
                <w:lang w:eastAsia="zh-CN"/>
              </w:rPr>
              <w:t>，“</w:t>
            </w:r>
            <w:r>
              <w:rPr>
                <w:rFonts w:hint="eastAsia" w:ascii="宋体" w:hAnsi="宋体" w:eastAsia="宋体" w:cs="宋体"/>
                <w:color w:val="000000" w:themeColor="text1"/>
                <w:sz w:val="18"/>
                <w:szCs w:val="18"/>
                <w14:textFill>
                  <w14:solidFill>
                    <w14:schemeClr w14:val="tx1"/>
                  </w14:solidFill>
                </w14:textFill>
              </w:rPr>
              <w:t>国务院交通运输主管部门和负责水路运输管理的部门应当依法对水路运输市场实施监督管理，对水路运输及其辅助业务的违法经营活动实施处罚，并建立经营者诚信管理制度，及时向社会公告监督检查情况</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kern w:val="0"/>
                <w:sz w:val="18"/>
                <w:szCs w:val="18"/>
                <w:lang w:eastAsia="zh-CN"/>
              </w:rPr>
              <w:t>第二、三</w:t>
            </w:r>
            <w:r>
              <w:rPr>
                <w:rFonts w:hint="eastAsia" w:ascii="宋体" w:hAnsi="宋体" w:eastAsia="宋体" w:cs="宋体"/>
                <w:kern w:val="0"/>
                <w:sz w:val="18"/>
                <w:szCs w:val="18"/>
              </w:rPr>
              <w:t>季度</w:t>
            </w:r>
          </w:p>
        </w:tc>
        <w:tc>
          <w:tcPr>
            <w:tcW w:w="9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0"/>
                <w:sz w:val="18"/>
                <w:szCs w:val="18"/>
              </w:rPr>
            </w:pPr>
            <w:r>
              <w:rPr>
                <w:rFonts w:hint="eastAsia"/>
                <w:sz w:val="18"/>
                <w:szCs w:val="18"/>
              </w:rPr>
              <w:t>现场调阅审查</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0"/>
                <w:sz w:val="18"/>
                <w:szCs w:val="18"/>
              </w:rPr>
            </w:pPr>
            <w:r>
              <w:rPr>
                <w:rFonts w:hint="eastAsia" w:ascii="宋体" w:hAnsi="宋体" w:eastAsia="宋体" w:cs="宋体"/>
                <w:sz w:val="18"/>
                <w:szCs w:val="18"/>
              </w:rPr>
              <w:t>无</w:t>
            </w:r>
          </w:p>
        </w:tc>
      </w:tr>
      <w:tr>
        <w:tblPrEx>
          <w:tblCellMar>
            <w:top w:w="0" w:type="dxa"/>
            <w:left w:w="108" w:type="dxa"/>
            <w:bottom w:w="0" w:type="dxa"/>
            <w:right w:w="108" w:type="dxa"/>
          </w:tblCellMar>
        </w:tblPrEx>
        <w:trPr>
          <w:trHeight w:val="421" w:hRule="atLeast"/>
        </w:trPr>
        <w:tc>
          <w:tcPr>
            <w:tcW w:w="107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4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金普新区交通运输局</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tabs>
                <w:tab w:val="left" w:pos="231"/>
              </w:tabs>
              <w:kinsoku/>
              <w:wordWrap/>
              <w:overflowPunct/>
              <w:topLinePunct w:val="0"/>
              <w:autoSpaceDE/>
              <w:autoSpaceDN/>
              <w:bidi w:val="0"/>
              <w:adjustRightInd/>
              <w:snapToGrid/>
              <w:spacing w:line="300" w:lineRule="exact"/>
              <w:ind w:left="0" w:leftChars="0"/>
              <w:jc w:val="left"/>
              <w:textAlignment w:val="auto"/>
              <w:outlineLvl w:val="9"/>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港口企业</w:t>
            </w:r>
          </w:p>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(1家)</w:t>
            </w:r>
          </w:p>
        </w:tc>
        <w:tc>
          <w:tcPr>
            <w:tcW w:w="225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kern w:val="0"/>
                <w:sz w:val="18"/>
                <w:szCs w:val="18"/>
              </w:rPr>
            </w:pPr>
            <w:r>
              <w:rPr>
                <w:rFonts w:hint="eastAsia" w:ascii="宋体" w:hAnsi="宋体" w:eastAsia="宋体" w:cs="宋体"/>
                <w:sz w:val="18"/>
                <w:szCs w:val="18"/>
              </w:rPr>
              <w:t>企业有无违规经营、超范围经营行为；是否有扰乱港口经营秩序行为；经营条件是否发生变化；是否落实安全生产主体责任</w:t>
            </w:r>
            <w:r>
              <w:rPr>
                <w:rFonts w:hint="eastAsia" w:ascii="宋体" w:hAnsi="宋体" w:eastAsia="宋体" w:cs="宋体"/>
                <w:sz w:val="18"/>
                <w:szCs w:val="18"/>
                <w:lang w:eastAsia="zh-CN"/>
              </w:rPr>
              <w:t>等</w:t>
            </w:r>
          </w:p>
        </w:tc>
        <w:tc>
          <w:tcPr>
            <w:tcW w:w="4108" w:type="dxa"/>
            <w:tcBorders>
              <w:top w:val="nil"/>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300" w:lineRule="exact"/>
              <w:rPr>
                <w:rFonts w:hint="eastAsia" w:ascii="宋体" w:hAnsi="宋体" w:eastAsia="宋体" w:cs="宋体"/>
                <w:kern w:val="0"/>
                <w:sz w:val="18"/>
                <w:szCs w:val="18"/>
              </w:rPr>
            </w:pPr>
            <w:r>
              <w:rPr>
                <w:rFonts w:hint="eastAsia" w:ascii="宋体" w:hAnsi="宋体" w:eastAsia="宋体" w:cs="宋体"/>
                <w:kern w:val="0"/>
                <w:sz w:val="18"/>
                <w:szCs w:val="18"/>
              </w:rPr>
              <w:t>《港口经营管理规定》第十二条</w:t>
            </w:r>
            <w:r>
              <w:rPr>
                <w:rFonts w:hint="eastAsia" w:ascii="宋体" w:hAnsi="宋体" w:eastAsia="宋体" w:cs="宋体"/>
                <w:kern w:val="0"/>
                <w:sz w:val="18"/>
                <w:szCs w:val="18"/>
                <w:lang w:eastAsia="zh-CN"/>
              </w:rPr>
              <w:t>，“</w:t>
            </w:r>
            <w:r>
              <w:rPr>
                <w:rFonts w:hint="eastAsia" w:ascii="宋体" w:hAnsi="宋体" w:eastAsia="宋体" w:cs="宋体"/>
                <w:color w:val="333333"/>
                <w:spacing w:val="8"/>
                <w:kern w:val="0"/>
                <w:sz w:val="18"/>
                <w:szCs w:val="18"/>
              </w:rPr>
              <w:t>港口经营人应当按照港口行政管理部门许可的经营范围从事港口经营活动</w:t>
            </w:r>
            <w:r>
              <w:rPr>
                <w:rFonts w:hint="eastAsia" w:ascii="宋体" w:hAnsi="宋体" w:eastAsia="宋体" w:cs="宋体"/>
                <w:color w:val="333333"/>
                <w:spacing w:val="8"/>
                <w:kern w:val="0"/>
                <w:sz w:val="18"/>
                <w:szCs w:val="18"/>
                <w:lang w:eastAsia="zh-CN"/>
              </w:rPr>
              <w:t>”；</w:t>
            </w:r>
            <w:r>
              <w:rPr>
                <w:rFonts w:hint="eastAsia" w:ascii="宋体" w:hAnsi="宋体" w:eastAsia="宋体" w:cs="宋体"/>
                <w:color w:val="333333"/>
                <w:spacing w:val="8"/>
                <w:kern w:val="0"/>
                <w:sz w:val="18"/>
                <w:szCs w:val="18"/>
              </w:rPr>
              <w:t>第二十一条</w:t>
            </w:r>
            <w:r>
              <w:rPr>
                <w:rFonts w:hint="eastAsia" w:ascii="宋体" w:hAnsi="宋体" w:eastAsia="宋体" w:cs="宋体"/>
                <w:color w:val="333333"/>
                <w:spacing w:val="8"/>
                <w:kern w:val="0"/>
                <w:sz w:val="18"/>
                <w:szCs w:val="18"/>
                <w:lang w:eastAsia="zh-CN"/>
              </w:rPr>
              <w:t>，“</w:t>
            </w:r>
            <w:r>
              <w:rPr>
                <w:rFonts w:hint="eastAsia" w:ascii="宋体" w:hAnsi="宋体" w:eastAsia="宋体" w:cs="宋体"/>
                <w:color w:val="333333"/>
                <w:spacing w:val="8"/>
                <w:kern w:val="0"/>
                <w:sz w:val="18"/>
                <w:szCs w:val="18"/>
              </w:rPr>
              <w:t>港口经营人、港口理货业务经营人应当建立健全安全生产责任制和安全生产规章制度，推进安全生产标准化建设，依法提取和使用安全生产费用，完善安全生产条件，建立实施安全风险分级管控和隐患排查治理制度，并严格落实治理措施；对从业人员进行安全生产教育、培训并如实记录相关情况，确保安全生产</w:t>
            </w:r>
            <w:r>
              <w:rPr>
                <w:rFonts w:hint="eastAsia" w:ascii="宋体" w:hAnsi="宋体" w:eastAsia="宋体" w:cs="宋体"/>
                <w:color w:val="333333"/>
                <w:spacing w:val="8"/>
                <w:kern w:val="0"/>
                <w:sz w:val="18"/>
                <w:szCs w:val="18"/>
                <w:lang w:eastAsia="zh-CN"/>
              </w:rPr>
              <w:t>”；</w:t>
            </w:r>
            <w:r>
              <w:rPr>
                <w:rFonts w:hint="eastAsia" w:ascii="宋体" w:hAnsi="宋体" w:eastAsia="宋体" w:cs="宋体"/>
                <w:color w:val="333333"/>
                <w:spacing w:val="8"/>
                <w:kern w:val="0"/>
                <w:sz w:val="18"/>
                <w:szCs w:val="18"/>
              </w:rPr>
              <w:t>第三十一条</w:t>
            </w:r>
            <w:r>
              <w:rPr>
                <w:rFonts w:hint="eastAsia" w:ascii="宋体" w:hAnsi="宋体" w:eastAsia="宋体" w:cs="宋体"/>
                <w:color w:val="333333"/>
                <w:spacing w:val="8"/>
                <w:kern w:val="0"/>
                <w:sz w:val="18"/>
                <w:szCs w:val="18"/>
                <w:lang w:eastAsia="zh-CN"/>
              </w:rPr>
              <w:t>，“</w:t>
            </w:r>
            <w:r>
              <w:rPr>
                <w:rFonts w:hint="eastAsia" w:ascii="宋体" w:hAnsi="宋体" w:eastAsia="宋体" w:cs="宋体"/>
                <w:color w:val="333333"/>
                <w:spacing w:val="8"/>
                <w:kern w:val="0"/>
                <w:sz w:val="18"/>
                <w:szCs w:val="18"/>
              </w:rPr>
              <w:t>港口经营人、港口理货业务经营人以及从事船舶港口服务的经营人应当遵守国家有关港口经营价格和收费的规定，应当在其经营场所公布经营服务收费项目和收费标准，并通过多种渠道公开，使用国家规定的港口经营票据</w:t>
            </w:r>
            <w:r>
              <w:rPr>
                <w:rFonts w:hint="eastAsia" w:ascii="宋体" w:hAnsi="宋体" w:eastAsia="宋体" w:cs="宋体"/>
                <w:color w:val="333333"/>
                <w:spacing w:val="8"/>
                <w:kern w:val="0"/>
                <w:sz w:val="18"/>
                <w:szCs w:val="18"/>
                <w:lang w:eastAsia="zh-CN"/>
              </w:rPr>
              <w:t>”；</w:t>
            </w:r>
            <w:r>
              <w:rPr>
                <w:rFonts w:hint="eastAsia" w:ascii="宋体" w:hAnsi="宋体" w:eastAsia="宋体" w:cs="宋体"/>
                <w:color w:val="333333"/>
                <w:spacing w:val="8"/>
                <w:kern w:val="0"/>
                <w:sz w:val="18"/>
                <w:szCs w:val="18"/>
              </w:rPr>
              <w:t>第四十二条</w:t>
            </w:r>
            <w:r>
              <w:rPr>
                <w:rFonts w:hint="eastAsia" w:ascii="宋体" w:hAnsi="宋体" w:eastAsia="宋体" w:cs="宋体"/>
                <w:color w:val="333333"/>
                <w:spacing w:val="8"/>
                <w:kern w:val="0"/>
                <w:sz w:val="18"/>
                <w:szCs w:val="18"/>
                <w:lang w:eastAsia="zh-CN"/>
              </w:rPr>
              <w:t>，“</w:t>
            </w:r>
            <w:r>
              <w:rPr>
                <w:rFonts w:hint="eastAsia" w:ascii="宋体" w:hAnsi="宋体" w:eastAsia="宋体" w:cs="宋体"/>
                <w:color w:val="333333"/>
                <w:spacing w:val="8"/>
                <w:kern w:val="0"/>
                <w:sz w:val="18"/>
                <w:szCs w:val="18"/>
              </w:rPr>
              <w:t>经检查或者调查证实，港口经营人在取得经营许可后又不符合本规定第七、八条规定一项或者几项条件的，由港口行政管理部门责令其停止经营，限期改正；逾期不改正的，由作出行政许可决定的行政机关吊销《港口经营许可证》，并以适当方式向社会公布。</w:t>
            </w:r>
            <w:r>
              <w:rPr>
                <w:rFonts w:hint="eastAsia" w:ascii="宋体" w:hAnsi="宋体" w:eastAsia="宋体" w:cs="宋体"/>
                <w:color w:val="333333"/>
                <w:spacing w:val="8"/>
                <w:kern w:val="0"/>
                <w:sz w:val="18"/>
                <w:szCs w:val="18"/>
                <w:lang w:eastAsia="zh-CN"/>
              </w:rPr>
              <w:t>”</w:t>
            </w:r>
          </w:p>
        </w:tc>
        <w:tc>
          <w:tcPr>
            <w:tcW w:w="10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第二、三</w:t>
            </w:r>
            <w:r>
              <w:rPr>
                <w:rFonts w:hint="eastAsia" w:ascii="宋体" w:hAnsi="宋体" w:eastAsia="宋体" w:cs="宋体"/>
                <w:kern w:val="0"/>
                <w:sz w:val="18"/>
                <w:szCs w:val="18"/>
              </w:rPr>
              <w:t>季度</w:t>
            </w:r>
          </w:p>
        </w:tc>
        <w:tc>
          <w:tcPr>
            <w:tcW w:w="9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kern w:val="0"/>
                <w:sz w:val="18"/>
                <w:szCs w:val="18"/>
                <w:lang w:eastAsia="zh-CN"/>
              </w:rPr>
            </w:pPr>
            <w:r>
              <w:rPr>
                <w:rFonts w:hint="eastAsia"/>
                <w:sz w:val="18"/>
                <w:szCs w:val="18"/>
              </w:rPr>
              <w:t>现场调阅审查</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rPr>
              <w:t>无</w:t>
            </w:r>
          </w:p>
        </w:tc>
      </w:tr>
    </w:tbl>
    <w:p>
      <w:pPr>
        <w:keepNext w:val="0"/>
        <w:keepLines w:val="0"/>
        <w:pageBreakBefore w:val="0"/>
        <w:kinsoku/>
        <w:wordWrap/>
        <w:overflowPunct/>
        <w:topLinePunct w:val="0"/>
        <w:autoSpaceDE/>
        <w:autoSpaceDN/>
        <w:bidi w:val="0"/>
        <w:adjustRightInd/>
        <w:snapToGrid/>
        <w:spacing w:line="300" w:lineRule="exact"/>
        <w:ind w:left="0" w:leftChars="0" w:right="64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18"/>
          <w:szCs w:val="18"/>
        </w:rPr>
        <w:t xml:space="preserve">   </w:t>
      </w:r>
      <w:r>
        <w:rPr>
          <w:rFonts w:hint="eastAsia" w:asciiTheme="minorEastAsia" w:hAnsiTheme="minorEastAsia" w:eastAsiaTheme="minorEastAsia" w:cstheme="minorEastAsia"/>
          <w:kern w:val="0"/>
          <w:sz w:val="18"/>
          <w:szCs w:val="18"/>
          <w:lang w:val="en-US" w:eastAsia="zh-CN"/>
        </w:rPr>
        <w:t xml:space="preserve"> </w:t>
      </w:r>
    </w:p>
    <w:sectPr>
      <w:footerReference r:id="rId3" w:type="default"/>
      <w:pgSz w:w="16838" w:h="11906" w:orient="landscape"/>
      <w:pgMar w:top="1797" w:right="1440" w:bottom="1797" w:left="1440" w:header="851" w:footer="992" w:gutter="0"/>
      <w:pgNumType w:fmt="numberInDash"/>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HorizontalSpacing w:val="156"/>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ODkxYzZlNTIyMWRhMTgyOTcxODUxOWI0MzE5NDMifQ=="/>
  </w:docVars>
  <w:rsids>
    <w:rsidRoot w:val="00B470F8"/>
    <w:rsid w:val="000146B6"/>
    <w:rsid w:val="00015498"/>
    <w:rsid w:val="00016200"/>
    <w:rsid w:val="000360D6"/>
    <w:rsid w:val="00065002"/>
    <w:rsid w:val="001379D3"/>
    <w:rsid w:val="0017271C"/>
    <w:rsid w:val="001D2D3A"/>
    <w:rsid w:val="001E181E"/>
    <w:rsid w:val="00265028"/>
    <w:rsid w:val="00267C09"/>
    <w:rsid w:val="0029106C"/>
    <w:rsid w:val="002F2B48"/>
    <w:rsid w:val="00390573"/>
    <w:rsid w:val="003952E1"/>
    <w:rsid w:val="003B09CF"/>
    <w:rsid w:val="003F2D41"/>
    <w:rsid w:val="00434F10"/>
    <w:rsid w:val="00477D7D"/>
    <w:rsid w:val="00517009"/>
    <w:rsid w:val="0053540E"/>
    <w:rsid w:val="00580F5D"/>
    <w:rsid w:val="005870F2"/>
    <w:rsid w:val="00606A2F"/>
    <w:rsid w:val="00666D93"/>
    <w:rsid w:val="0068458B"/>
    <w:rsid w:val="006A2F1C"/>
    <w:rsid w:val="006A54DB"/>
    <w:rsid w:val="006B5070"/>
    <w:rsid w:val="006E24AA"/>
    <w:rsid w:val="00766D3C"/>
    <w:rsid w:val="007C4B0B"/>
    <w:rsid w:val="007E728A"/>
    <w:rsid w:val="007F5136"/>
    <w:rsid w:val="00807F73"/>
    <w:rsid w:val="00833182"/>
    <w:rsid w:val="008639AC"/>
    <w:rsid w:val="00866F56"/>
    <w:rsid w:val="008A1052"/>
    <w:rsid w:val="008B5C6A"/>
    <w:rsid w:val="008F4462"/>
    <w:rsid w:val="0094232F"/>
    <w:rsid w:val="0095776D"/>
    <w:rsid w:val="00961B24"/>
    <w:rsid w:val="0096615D"/>
    <w:rsid w:val="00996CCD"/>
    <w:rsid w:val="009C2405"/>
    <w:rsid w:val="009D2EDD"/>
    <w:rsid w:val="009E4DAE"/>
    <w:rsid w:val="00A31F1D"/>
    <w:rsid w:val="00A42F9C"/>
    <w:rsid w:val="00A845F7"/>
    <w:rsid w:val="00B037A3"/>
    <w:rsid w:val="00B1601B"/>
    <w:rsid w:val="00B470F8"/>
    <w:rsid w:val="00B82BF1"/>
    <w:rsid w:val="00BA7358"/>
    <w:rsid w:val="00BB1490"/>
    <w:rsid w:val="00BC0582"/>
    <w:rsid w:val="00C67395"/>
    <w:rsid w:val="00C84C9C"/>
    <w:rsid w:val="00CD02BD"/>
    <w:rsid w:val="00CF3CBA"/>
    <w:rsid w:val="00CF7310"/>
    <w:rsid w:val="00D84171"/>
    <w:rsid w:val="00E15248"/>
    <w:rsid w:val="00E25195"/>
    <w:rsid w:val="00E42525"/>
    <w:rsid w:val="00E45772"/>
    <w:rsid w:val="00E60500"/>
    <w:rsid w:val="00E735F8"/>
    <w:rsid w:val="00E829FC"/>
    <w:rsid w:val="00EF13AE"/>
    <w:rsid w:val="00EF3269"/>
    <w:rsid w:val="00F25CD8"/>
    <w:rsid w:val="00F446C0"/>
    <w:rsid w:val="00FB4D47"/>
    <w:rsid w:val="00FC6C40"/>
    <w:rsid w:val="00FD55CF"/>
    <w:rsid w:val="03171023"/>
    <w:rsid w:val="13BF4674"/>
    <w:rsid w:val="18664AF3"/>
    <w:rsid w:val="18A77E3E"/>
    <w:rsid w:val="1B1978E3"/>
    <w:rsid w:val="24580B20"/>
    <w:rsid w:val="28B60FB7"/>
    <w:rsid w:val="2A2F74A1"/>
    <w:rsid w:val="2D4B1EA7"/>
    <w:rsid w:val="35D33E92"/>
    <w:rsid w:val="362C584D"/>
    <w:rsid w:val="3A890CDB"/>
    <w:rsid w:val="42C63948"/>
    <w:rsid w:val="48BE01CD"/>
    <w:rsid w:val="4D114ED5"/>
    <w:rsid w:val="5A836DD4"/>
    <w:rsid w:val="5C922787"/>
    <w:rsid w:val="5ECA0B62"/>
    <w:rsid w:val="657B037A"/>
    <w:rsid w:val="670C4D83"/>
    <w:rsid w:val="6ABB4BB3"/>
    <w:rsid w:val="6CF7046B"/>
    <w:rsid w:val="72E11AED"/>
    <w:rsid w:val="7476457F"/>
    <w:rsid w:val="77187C65"/>
    <w:rsid w:val="782420C1"/>
    <w:rsid w:val="7EEF2710"/>
    <w:rsid w:val="7FF63C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21"/>
      <w:lang w:val="en-US" w:eastAsia="zh-CN" w:bidi="ar-SA"/>
    </w:rPr>
  </w:style>
  <w:style w:type="character" w:default="1" w:styleId="8">
    <w:name w:val="Default Paragraph Font"/>
    <w:autoRedefine/>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HTML Address"/>
    <w:basedOn w:val="1"/>
    <w:qFormat/>
    <w:uiPriority w:val="0"/>
    <w:rPr>
      <w:i/>
      <w:iCs/>
    </w:rPr>
  </w:style>
  <w:style w:type="paragraph" w:styleId="3">
    <w:name w:val="List 2"/>
    <w:basedOn w:val="1"/>
    <w:unhideWhenUsed/>
    <w:qFormat/>
    <w:uiPriority w:val="99"/>
    <w:pPr>
      <w:ind w:left="100" w:leftChars="200" w:hanging="200" w:hangingChars="200"/>
    </w:pPr>
  </w:style>
  <w:style w:type="paragraph" w:styleId="4">
    <w:name w:val="Balloon Text"/>
    <w:basedOn w:val="1"/>
    <w:link w:val="12"/>
    <w:semiHidden/>
    <w:qFormat/>
    <w:uiPriority w:val="99"/>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styleId="10">
    <w:name w:val="Hyperlink"/>
    <w:basedOn w:val="8"/>
    <w:qFormat/>
    <w:uiPriority w:val="99"/>
    <w:rPr>
      <w:color w:val="0000FF"/>
      <w:u w:val="single"/>
    </w:rPr>
  </w:style>
  <w:style w:type="paragraph" w:customStyle="1" w:styleId="11">
    <w:name w:val="Revision"/>
    <w:autoRedefine/>
    <w:hidden/>
    <w:semiHidden/>
    <w:qFormat/>
    <w:uiPriority w:val="99"/>
    <w:rPr>
      <w:rFonts w:ascii="Calibri" w:hAnsi="Calibri" w:eastAsia="宋体" w:cs="Calibri"/>
      <w:kern w:val="2"/>
      <w:sz w:val="21"/>
      <w:szCs w:val="21"/>
      <w:lang w:val="en-US" w:eastAsia="zh-CN" w:bidi="ar-SA"/>
    </w:rPr>
  </w:style>
  <w:style w:type="character" w:customStyle="1" w:styleId="12">
    <w:name w:val="Balloon Text Char"/>
    <w:basedOn w:val="8"/>
    <w:link w:val="4"/>
    <w:semiHidden/>
    <w:qFormat/>
    <w:locked/>
    <w:uiPriority w:val="99"/>
    <w:rPr>
      <w:rFonts w:ascii="Calibri" w:hAnsi="Calibri" w:eastAsia="宋体" w:cs="Calibri"/>
      <w:sz w:val="18"/>
      <w:szCs w:val="18"/>
    </w:rPr>
  </w:style>
  <w:style w:type="character" w:customStyle="1" w:styleId="13">
    <w:name w:val="Footer Char"/>
    <w:basedOn w:val="8"/>
    <w:link w:val="5"/>
    <w:autoRedefine/>
    <w:qFormat/>
    <w:locked/>
    <w:uiPriority w:val="99"/>
    <w:rPr>
      <w:sz w:val="18"/>
      <w:szCs w:val="18"/>
    </w:rPr>
  </w:style>
  <w:style w:type="character" w:customStyle="1" w:styleId="14">
    <w:name w:val="Header Char"/>
    <w:basedOn w:val="8"/>
    <w:link w:val="6"/>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3</Pages>
  <Words>1474</Words>
  <Characters>1481</Characters>
  <Lines>0</Lines>
  <Paragraphs>0</Paragraphs>
  <TotalTime>7</TotalTime>
  <ScaleCrop>false</ScaleCrop>
  <LinksUpToDate>false</LinksUpToDate>
  <CharactersWithSpaces>1495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2019-04-17T03:10:00Z</dcterms:created>
  <dc:creator>dashu</dc:creator>
  <cp:lastModifiedBy>云朵儿</cp:lastModifiedBy>
  <cp:lastPrinted>2022-01-10T07:53:00Z</cp:lastPrinted>
  <dcterms:modified xsi:type="dcterms:W3CDTF">2024-03-14T08:38:16Z</dcterms:modified>
  <dc:title>大司法办〔2019〕 号</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1E9CF13BEAE54DDAB999D324F9163CAD</vt:lpwstr>
  </property>
</Properties>
</file>