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val="0"/>
        <w:overflowPunct/>
        <w:topLinePunct w:val="0"/>
        <w:autoSpaceDE/>
        <w:autoSpaceDN/>
        <w:bidi w:val="0"/>
        <w:adjustRightInd/>
        <w:snapToGrid/>
        <w:spacing w:line="240" w:lineRule="auto"/>
        <w:ind w:left="0" w:leftChars="0" w:right="640"/>
        <w:jc w:val="center"/>
        <w:textAlignment w:val="auto"/>
        <w:outlineLvl w:val="9"/>
        <w:rPr>
          <w:rFonts w:hint="eastAsia" w:asciiTheme="minorEastAsia" w:hAnsiTheme="minorEastAsia" w:eastAsiaTheme="minorEastAsia" w:cstheme="minorEastAsia"/>
          <w:b/>
          <w:bCs/>
          <w:sz w:val="44"/>
          <w:szCs w:val="44"/>
          <w:lang w:val="en-US" w:eastAsia="zh-CN"/>
        </w:rPr>
      </w:pPr>
    </w:p>
    <w:p>
      <w:pPr>
        <w:keepNext w:val="0"/>
        <w:keepLines w:val="0"/>
        <w:pageBreakBefore w:val="0"/>
        <w:widowControl w:val="0"/>
        <w:kinsoku/>
        <w:wordWrap w:val="0"/>
        <w:overflowPunct/>
        <w:topLinePunct w:val="0"/>
        <w:autoSpaceDE/>
        <w:autoSpaceDN/>
        <w:bidi w:val="0"/>
        <w:adjustRightInd/>
        <w:snapToGrid/>
        <w:spacing w:after="161" w:afterLines="50" w:line="240" w:lineRule="auto"/>
        <w:ind w:left="0" w:leftChars="0" w:right="641"/>
        <w:jc w:val="center"/>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b/>
          <w:bCs/>
          <w:sz w:val="44"/>
          <w:szCs w:val="44"/>
          <w:lang w:val="en-US" w:eastAsia="zh-CN"/>
        </w:rPr>
        <w:t>大连金普新区交通运输局</w:t>
      </w:r>
      <w:r>
        <w:rPr>
          <w:rFonts w:hint="eastAsia" w:asciiTheme="minorEastAsia" w:hAnsiTheme="minorEastAsia" w:eastAsiaTheme="minorEastAsia" w:cstheme="minorEastAsia"/>
          <w:b/>
          <w:bCs/>
          <w:sz w:val="44"/>
          <w:szCs w:val="44"/>
          <w:lang w:eastAsia="zh-CN"/>
        </w:rPr>
        <w:t>202</w:t>
      </w:r>
      <w:r>
        <w:rPr>
          <w:rFonts w:hint="eastAsia" w:asciiTheme="minorEastAsia" w:hAnsiTheme="minorEastAsia" w:eastAsiaTheme="minorEastAsia" w:cstheme="minorEastAsia"/>
          <w:b/>
          <w:bCs/>
          <w:sz w:val="44"/>
          <w:szCs w:val="44"/>
          <w:lang w:val="en-US" w:eastAsia="zh-CN"/>
        </w:rPr>
        <w:t>4</w:t>
      </w:r>
      <w:r>
        <w:rPr>
          <w:rFonts w:hint="eastAsia" w:asciiTheme="minorEastAsia" w:hAnsiTheme="minorEastAsia" w:eastAsiaTheme="minorEastAsia" w:cstheme="minorEastAsia"/>
          <w:b/>
          <w:bCs/>
          <w:sz w:val="44"/>
          <w:szCs w:val="44"/>
        </w:rPr>
        <w:t>年</w:t>
      </w:r>
      <w:r>
        <w:rPr>
          <w:rFonts w:hint="eastAsia" w:asciiTheme="minorEastAsia" w:hAnsiTheme="minorEastAsia" w:eastAsiaTheme="minorEastAsia" w:cstheme="minorEastAsia"/>
          <w:b/>
          <w:bCs/>
          <w:sz w:val="44"/>
          <w:szCs w:val="44"/>
          <w:lang w:eastAsia="zh-CN"/>
        </w:rPr>
        <w:t>涉企行政执法检查计划</w:t>
      </w:r>
    </w:p>
    <w:tbl>
      <w:tblPr>
        <w:tblStyle w:val="7"/>
        <w:tblW w:w="13957" w:type="dxa"/>
        <w:tblInd w:w="-45" w:type="dxa"/>
        <w:tblLayout w:type="fixed"/>
        <w:tblCellMar>
          <w:top w:w="0" w:type="dxa"/>
          <w:left w:w="108" w:type="dxa"/>
          <w:bottom w:w="0" w:type="dxa"/>
          <w:right w:w="108" w:type="dxa"/>
        </w:tblCellMar>
      </w:tblPr>
      <w:tblGrid>
        <w:gridCol w:w="1072"/>
        <w:gridCol w:w="1438"/>
        <w:gridCol w:w="1600"/>
        <w:gridCol w:w="2252"/>
        <w:gridCol w:w="4108"/>
        <w:gridCol w:w="1005"/>
        <w:gridCol w:w="988"/>
        <w:gridCol w:w="1494"/>
      </w:tblGrid>
      <w:tr>
        <w:tblPrEx>
          <w:tblCellMar>
            <w:top w:w="0" w:type="dxa"/>
            <w:left w:w="108" w:type="dxa"/>
            <w:bottom w:w="0" w:type="dxa"/>
            <w:right w:w="108" w:type="dxa"/>
          </w:tblCellMar>
        </w:tblPrEx>
        <w:trPr>
          <w:trHeight w:val="915" w:hRule="atLeast"/>
        </w:trPr>
        <w:tc>
          <w:tcPr>
            <w:tcW w:w="1072"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序号</w:t>
            </w:r>
          </w:p>
        </w:tc>
        <w:tc>
          <w:tcPr>
            <w:tcW w:w="143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执法机关</w:t>
            </w:r>
          </w:p>
        </w:tc>
        <w:tc>
          <w:tcPr>
            <w:tcW w:w="1600"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检查对象</w:t>
            </w:r>
          </w:p>
        </w:tc>
        <w:tc>
          <w:tcPr>
            <w:tcW w:w="2252"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检查</w:t>
            </w:r>
            <w:r>
              <w:rPr>
                <w:rFonts w:hint="eastAsia" w:asciiTheme="minorEastAsia" w:hAnsiTheme="minorEastAsia" w:eastAsiaTheme="minorEastAsia" w:cstheme="minorEastAsia"/>
                <w:kern w:val="0"/>
                <w:sz w:val="28"/>
                <w:szCs w:val="28"/>
                <w:lang w:eastAsia="zh-CN"/>
              </w:rPr>
              <w:t>内容</w:t>
            </w:r>
          </w:p>
        </w:tc>
        <w:tc>
          <w:tcPr>
            <w:tcW w:w="410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检查依据</w:t>
            </w:r>
          </w:p>
        </w:tc>
        <w:tc>
          <w:tcPr>
            <w:tcW w:w="1005"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检查</w:t>
            </w:r>
            <w:r>
              <w:rPr>
                <w:rFonts w:hint="eastAsia" w:asciiTheme="minorEastAsia" w:hAnsiTheme="minorEastAsia" w:eastAsiaTheme="minorEastAsia" w:cstheme="minorEastAsia"/>
                <w:kern w:val="0"/>
                <w:sz w:val="28"/>
                <w:szCs w:val="28"/>
                <w:lang w:eastAsia="zh-CN"/>
              </w:rPr>
              <w:t>时间</w:t>
            </w:r>
          </w:p>
        </w:tc>
        <w:tc>
          <w:tcPr>
            <w:tcW w:w="988"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lang w:eastAsia="zh-CN"/>
              </w:rPr>
            </w:pPr>
            <w:r>
              <w:rPr>
                <w:rFonts w:hint="eastAsia" w:asciiTheme="minorEastAsia" w:hAnsiTheme="minorEastAsia" w:eastAsiaTheme="minorEastAsia" w:cstheme="minorEastAsia"/>
                <w:kern w:val="0"/>
                <w:sz w:val="28"/>
                <w:szCs w:val="28"/>
              </w:rPr>
              <w:t>检查</w:t>
            </w:r>
            <w:r>
              <w:rPr>
                <w:rFonts w:hint="eastAsia" w:asciiTheme="minorEastAsia" w:hAnsiTheme="minorEastAsia" w:eastAsiaTheme="minorEastAsia" w:cstheme="minorEastAsia"/>
                <w:kern w:val="0"/>
                <w:sz w:val="28"/>
                <w:szCs w:val="28"/>
                <w:lang w:eastAsia="zh-CN"/>
              </w:rPr>
              <w:t>方式</w:t>
            </w:r>
          </w:p>
        </w:tc>
        <w:tc>
          <w:tcPr>
            <w:tcW w:w="1494" w:type="dxa"/>
            <w:tcBorders>
              <w:top w:val="single" w:color="auto" w:sz="4" w:space="0"/>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440" w:lineRule="exact"/>
              <w:ind w:left="0" w:leftChars="0"/>
              <w:jc w:val="center"/>
              <w:textAlignment w:val="auto"/>
              <w:outlineLvl w:val="9"/>
              <w:rPr>
                <w:rFonts w:hint="eastAsia" w:asciiTheme="minorEastAsia" w:hAnsiTheme="minorEastAsia" w:eastAsiaTheme="minorEastAsia" w:cstheme="minorEastAsia"/>
                <w:kern w:val="0"/>
                <w:sz w:val="28"/>
                <w:szCs w:val="28"/>
              </w:rPr>
            </w:pPr>
            <w:r>
              <w:rPr>
                <w:rFonts w:hint="eastAsia" w:asciiTheme="minorEastAsia" w:hAnsiTheme="minorEastAsia" w:eastAsiaTheme="minorEastAsia" w:cstheme="minorEastAsia"/>
                <w:kern w:val="0"/>
                <w:sz w:val="28"/>
                <w:szCs w:val="28"/>
              </w:rPr>
              <w:t>联合部门</w:t>
            </w:r>
          </w:p>
        </w:tc>
      </w:tr>
      <w:tr>
        <w:tblPrEx>
          <w:tblCellMar>
            <w:top w:w="0" w:type="dxa"/>
            <w:left w:w="108" w:type="dxa"/>
            <w:bottom w:w="0" w:type="dxa"/>
            <w:right w:w="108" w:type="dxa"/>
          </w:tblCellMar>
        </w:tblPrEx>
        <w:trPr>
          <w:trHeight w:val="421" w:hRule="atLeast"/>
        </w:trPr>
        <w:tc>
          <w:tcPr>
            <w:tcW w:w="10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lang w:val="en-US" w:eastAsia="zh-CN"/>
              </w:rPr>
            </w:pPr>
          </w:p>
          <w:p>
            <w:pPr>
              <w:keepNext w:val="0"/>
              <w:keepLines w:val="0"/>
              <w:pageBreakBefore w:val="0"/>
              <w:widowControl/>
              <w:kinsoku/>
              <w:wordWrap/>
              <w:overflowPunct/>
              <w:topLinePunct w:val="0"/>
              <w:autoSpaceDE/>
              <w:autoSpaceDN/>
              <w:bidi w:val="0"/>
              <w:adjustRightInd/>
              <w:snapToGrid/>
              <w:spacing w:line="300" w:lineRule="exact"/>
              <w:jc w:val="center"/>
              <w:rPr>
                <w:rFonts w:hint="default"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1</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p>
        </w:tc>
        <w:tc>
          <w:tcPr>
            <w:tcW w:w="14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kern w:val="0"/>
                <w:sz w:val="18"/>
                <w:szCs w:val="18"/>
              </w:rPr>
            </w:pPr>
            <w:r>
              <w:rPr>
                <w:rFonts w:hint="eastAsia" w:asciiTheme="minorEastAsia" w:hAnsiTheme="minorEastAsia" w:eastAsiaTheme="minorEastAsia" w:cstheme="minorEastAsia"/>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0"/>
                <w:sz w:val="18"/>
                <w:szCs w:val="18"/>
              </w:rPr>
            </w:pPr>
            <w:r>
              <w:rPr>
                <w:rFonts w:hint="eastAsia" w:ascii="宋体" w:hAnsi="宋体" w:eastAsia="宋体" w:cs="宋体"/>
                <w:sz w:val="18"/>
                <w:szCs w:val="18"/>
              </w:rPr>
              <w:t>道路运输经营及道路运输相关业企业（26家）</w:t>
            </w:r>
          </w:p>
        </w:tc>
        <w:tc>
          <w:tcPr>
            <w:tcW w:w="2252"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rPr>
                <w:rFonts w:hint="eastAsia" w:asciiTheme="minorEastAsia" w:hAnsiTheme="minorEastAsia" w:eastAsiaTheme="minorEastAsia" w:cstheme="minorEastAsia"/>
                <w:kern w:val="0"/>
                <w:sz w:val="18"/>
                <w:szCs w:val="18"/>
              </w:rPr>
            </w:pPr>
            <w:r>
              <w:rPr>
                <w:rFonts w:hint="eastAsia" w:ascii="宋体" w:hAnsi="宋体" w:eastAsia="宋体" w:cs="宋体"/>
                <w:color w:val="000000"/>
                <w:kern w:val="0"/>
                <w:sz w:val="18"/>
                <w:szCs w:val="18"/>
              </w:rPr>
              <w:t>企业资质条件</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安全生产主体责任</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从业人员资质条件</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车辆资质条件</w:t>
            </w:r>
            <w:r>
              <w:rPr>
                <w:rFonts w:hint="eastAsia" w:ascii="宋体" w:hAnsi="宋体" w:eastAsia="宋体" w:cs="宋体"/>
                <w:color w:val="000000"/>
                <w:kern w:val="0"/>
                <w:sz w:val="18"/>
                <w:szCs w:val="18"/>
                <w:lang w:eastAsia="zh-CN"/>
              </w:rPr>
              <w:t>等</w:t>
            </w:r>
          </w:p>
        </w:tc>
        <w:tc>
          <w:tcPr>
            <w:tcW w:w="410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left"/>
              <w:rPr>
                <w:rFonts w:hint="eastAsia" w:asciiTheme="minorEastAsia" w:hAnsiTheme="minorEastAsia" w:eastAsiaTheme="minorEastAsia" w:cstheme="minorEastAsia"/>
                <w:kern w:val="0"/>
                <w:sz w:val="18"/>
                <w:szCs w:val="18"/>
              </w:rPr>
            </w:pPr>
            <w:r>
              <w:rPr>
                <w:rFonts w:hint="eastAsia" w:ascii="宋体" w:hAnsi="宋体" w:eastAsia="宋体" w:cs="宋体"/>
                <w:b w:val="0"/>
                <w:bCs w:val="0"/>
                <w:color w:val="auto"/>
                <w:kern w:val="2"/>
                <w:sz w:val="18"/>
                <w:szCs w:val="18"/>
                <w:lang w:val="en-US" w:eastAsia="zh-CN" w:bidi="ar-SA"/>
              </w:rPr>
              <w:t>《中华人民共和国道路运输条例》第七条，“</w:t>
            </w:r>
            <w:r>
              <w:rPr>
                <w:rFonts w:hint="eastAsia" w:ascii="宋体" w:hAnsi="宋体" w:eastAsia="宋体" w:cs="宋体"/>
                <w:color w:val="000000"/>
                <w:kern w:val="0"/>
                <w:sz w:val="18"/>
                <w:szCs w:val="18"/>
                <w:lang w:eastAsia="zh-CN"/>
              </w:rPr>
              <w:t xml:space="preserve"> 县级以上地方人民政府交通运输主管部门负责本行政区域的道路运输管理工作”；</w:t>
            </w:r>
            <w:r>
              <w:rPr>
                <w:rFonts w:hint="eastAsia" w:ascii="宋体" w:hAnsi="宋体" w:eastAsia="宋体" w:cs="宋体"/>
                <w:color w:val="000000" w:themeColor="text1"/>
                <w:sz w:val="18"/>
                <w:szCs w:val="18"/>
                <w14:textFill>
                  <w14:solidFill>
                    <w14:schemeClr w14:val="tx1"/>
                  </w14:solidFill>
                </w14:textFill>
              </w:rPr>
              <w:t>第五十八条</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themeColor="text1"/>
                <w:sz w:val="18"/>
                <w:szCs w:val="18"/>
                <w14:textFill>
                  <w14:solidFill>
                    <w14:schemeClr w14:val="tx1"/>
                  </w14:solidFill>
                </w14:textFill>
              </w:rPr>
              <w:t>县级以上人民政府交通运输主管部门的工作人员应当严格按照职责权限和程序进行监督检查</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b w:val="0"/>
                <w:bCs w:val="0"/>
                <w:color w:val="auto"/>
                <w:kern w:val="2"/>
                <w:sz w:val="18"/>
                <w:szCs w:val="18"/>
                <w:lang w:val="en-US" w:eastAsia="zh-CN" w:bidi="ar-SA"/>
              </w:rPr>
              <w:t>第六十条，“</w:t>
            </w:r>
            <w:r>
              <w:rPr>
                <w:rFonts w:hint="eastAsia" w:ascii="宋体" w:hAnsi="宋体" w:eastAsia="宋体" w:cs="宋体"/>
                <w:color w:val="000000" w:themeColor="text1"/>
                <w:sz w:val="18"/>
                <w:szCs w:val="18"/>
                <w14:textFill>
                  <w14:solidFill>
                    <w14:schemeClr w14:val="tx1"/>
                  </w14:solidFill>
                </w14:textFill>
              </w:rPr>
              <w:t>县级以上人民政府交通运输主管部门的工作人员实施监督检查时，可以向有关单位和个人了解情况，查阅、复制有关资料。但是，应当保守被调查单位和个人的商业秘密。</w:t>
            </w:r>
            <w:r>
              <w:rPr>
                <w:rFonts w:hint="eastAsia" w:ascii="宋体" w:hAnsi="宋体" w:eastAsia="宋体" w:cs="宋体"/>
                <w:b w:val="0"/>
                <w:bCs w:val="0"/>
                <w:color w:val="auto"/>
                <w:kern w:val="2"/>
                <w:sz w:val="18"/>
                <w:szCs w:val="18"/>
                <w:lang w:val="en-US" w:eastAsia="zh-CN" w:bidi="ar-SA"/>
              </w:rPr>
              <w:t>”</w:t>
            </w:r>
          </w:p>
        </w:tc>
        <w:tc>
          <w:tcPr>
            <w:tcW w:w="1005"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r>
              <w:rPr>
                <w:rFonts w:hint="eastAsia" w:ascii="宋体" w:hAnsi="宋体" w:eastAsia="宋体" w:cs="宋体"/>
                <w:color w:val="auto"/>
                <w:kern w:val="2"/>
                <w:sz w:val="18"/>
                <w:szCs w:val="18"/>
                <w:lang w:val="en-US" w:eastAsia="zh-CN" w:bidi="ar-SA"/>
              </w:rPr>
              <w:t>2月—11月</w:t>
            </w:r>
          </w:p>
        </w:tc>
        <w:tc>
          <w:tcPr>
            <w:tcW w:w="988"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lang w:eastAsia="zh-CN"/>
              </w:rPr>
            </w:pPr>
            <w:r>
              <w:rPr>
                <w:rFonts w:hint="eastAsia"/>
                <w:sz w:val="18"/>
                <w:szCs w:val="18"/>
              </w:rPr>
              <w:t>现场调阅审查</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r>
              <w:rPr>
                <w:rFonts w:hint="eastAsia" w:ascii="宋体" w:hAnsi="宋体" w:eastAsia="宋体" w:cs="宋体"/>
                <w:kern w:val="2"/>
                <w:sz w:val="18"/>
                <w:szCs w:val="18"/>
                <w:lang w:val="en-US" w:eastAsia="zh-CN" w:bidi="ar-SA"/>
              </w:rPr>
              <w:t>市场监督管理部门</w:t>
            </w:r>
          </w:p>
        </w:tc>
      </w:tr>
      <w:tr>
        <w:tblPrEx>
          <w:tblCellMar>
            <w:top w:w="0" w:type="dxa"/>
            <w:left w:w="108" w:type="dxa"/>
            <w:bottom w:w="0" w:type="dxa"/>
            <w:right w:w="108" w:type="dxa"/>
          </w:tblCellMar>
        </w:tblPrEx>
        <w:trPr>
          <w:trHeight w:val="555" w:hRule="atLeast"/>
        </w:trPr>
        <w:tc>
          <w:tcPr>
            <w:tcW w:w="10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Theme="minorEastAsia" w:hAnsiTheme="minorEastAsia" w:eastAsiaTheme="minorEastAsia" w:cstheme="minorEastAsia"/>
                <w:kern w:val="0"/>
                <w:sz w:val="18"/>
                <w:szCs w:val="18"/>
                <w:lang w:val="en-US" w:eastAsia="zh-CN"/>
              </w:rPr>
            </w:pPr>
            <w:r>
              <w:rPr>
                <w:rFonts w:hint="eastAsia" w:asciiTheme="minorEastAsia" w:hAnsiTheme="minorEastAsia" w:eastAsiaTheme="minorEastAsia" w:cstheme="minorEastAsia"/>
                <w:kern w:val="0"/>
                <w:sz w:val="18"/>
                <w:szCs w:val="18"/>
                <w:lang w:val="en-US" w:eastAsia="zh-CN"/>
              </w:rPr>
              <w:t>2</w:t>
            </w:r>
          </w:p>
        </w:tc>
        <w:tc>
          <w:tcPr>
            <w:tcW w:w="14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Theme="minorEastAsia" w:hAnsiTheme="minorEastAsia" w:eastAsiaTheme="minorEastAsia" w:cstheme="minorEastAsia"/>
                <w:kern w:val="0"/>
                <w:sz w:val="18"/>
                <w:szCs w:val="18"/>
                <w:lang w:val="en-US" w:eastAsia="zh-CN" w:bidi="ar-SA"/>
              </w:rPr>
            </w:pPr>
            <w:r>
              <w:rPr>
                <w:rFonts w:hint="eastAsia" w:asciiTheme="minorEastAsia" w:hAnsiTheme="minorEastAsia" w:eastAsiaTheme="minorEastAsia" w:cstheme="minorEastAsia"/>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rPr>
              <w:t>水路运输企业</w:t>
            </w:r>
          </w:p>
          <w:p>
            <w:pPr>
              <w:keepNext w:val="0"/>
              <w:keepLines w:val="0"/>
              <w:pageBreakBefore w:val="0"/>
              <w:widowControl/>
              <w:kinsoku/>
              <w:wordWrap/>
              <w:overflowPunct/>
              <w:topLinePunct w:val="0"/>
              <w:autoSpaceDE/>
              <w:autoSpaceDN/>
              <w:bidi w:val="0"/>
              <w:adjustRightInd/>
              <w:snapToGrid/>
              <w:spacing w:line="300" w:lineRule="exact"/>
              <w:jc w:val="center"/>
              <w:rPr>
                <w:rFonts w:hint="eastAsia" w:eastAsia="宋体" w:asciiTheme="minorEastAsia" w:hAnsiTheme="minorEastAsia" w:cstheme="minorEastAsia"/>
                <w:kern w:val="0"/>
                <w:sz w:val="18"/>
                <w:szCs w:val="18"/>
                <w:lang w:val="en-US" w:eastAsia="zh-CN"/>
              </w:rPr>
            </w:pPr>
            <w:r>
              <w:rPr>
                <w:rFonts w:hint="eastAsia" w:ascii="宋体" w:hAnsi="宋体" w:eastAsia="宋体" w:cs="宋体"/>
                <w:kern w:val="0"/>
                <w:sz w:val="18"/>
                <w:szCs w:val="18"/>
                <w:lang w:val="en-US" w:eastAsia="zh-CN"/>
              </w:rPr>
              <w:t>(</w:t>
            </w:r>
            <w:r>
              <w:rPr>
                <w:rFonts w:hint="eastAsia" w:ascii="宋体" w:hAnsi="宋体" w:eastAsia="宋体" w:cs="宋体"/>
                <w:kern w:val="0"/>
                <w:sz w:val="18"/>
                <w:szCs w:val="18"/>
              </w:rPr>
              <w:t>2家</w:t>
            </w:r>
            <w:r>
              <w:rPr>
                <w:rFonts w:hint="eastAsia" w:ascii="宋体" w:hAnsi="宋体" w:eastAsia="宋体" w:cs="宋体"/>
                <w:kern w:val="0"/>
                <w:sz w:val="18"/>
                <w:szCs w:val="18"/>
                <w:lang w:val="en-US" w:eastAsia="zh-CN"/>
              </w:rPr>
              <w:t>)</w:t>
            </w:r>
          </w:p>
        </w:tc>
        <w:tc>
          <w:tcPr>
            <w:tcW w:w="2252" w:type="dxa"/>
            <w:tcBorders>
              <w:top w:val="nil"/>
              <w:left w:val="nil"/>
              <w:bottom w:val="single" w:color="auto" w:sz="4" w:space="0"/>
              <w:right w:val="single" w:color="auto" w:sz="4" w:space="0"/>
            </w:tcBorders>
            <w:vAlign w:val="center"/>
          </w:tcPr>
          <w:p>
            <w:pPr>
              <w:keepNext w:val="0"/>
              <w:keepLines w:val="0"/>
              <w:pageBreakBefore w:val="0"/>
              <w:widowControl/>
              <w:numPr>
                <w:ilvl w:val="0"/>
                <w:numId w:val="0"/>
              </w:numPr>
              <w:kinsoku/>
              <w:wordWrap/>
              <w:overflowPunct/>
              <w:topLinePunct w:val="0"/>
              <w:autoSpaceDE/>
              <w:autoSpaceDN/>
              <w:bidi w:val="0"/>
              <w:adjustRightInd/>
              <w:snapToGrid/>
              <w:spacing w:line="300" w:lineRule="exact"/>
              <w:ind w:left="0" w:leftChars="0" w:firstLine="0" w:firstLineChars="0"/>
              <w:jc w:val="both"/>
              <w:rPr>
                <w:rFonts w:hint="eastAsia" w:asciiTheme="minorEastAsia" w:hAnsiTheme="minorEastAsia" w:eastAsiaTheme="minorEastAsia" w:cstheme="minorEastAsia"/>
                <w:kern w:val="0"/>
                <w:sz w:val="18"/>
                <w:szCs w:val="18"/>
              </w:rPr>
            </w:pPr>
            <w:r>
              <w:rPr>
                <w:rFonts w:hint="eastAsia" w:ascii="宋体" w:hAnsi="宋体" w:eastAsia="宋体" w:cs="宋体"/>
                <w:kern w:val="0"/>
                <w:sz w:val="18"/>
                <w:szCs w:val="18"/>
                <w:lang w:eastAsia="zh-CN"/>
              </w:rPr>
              <w:t>企业</w:t>
            </w:r>
            <w:r>
              <w:rPr>
                <w:rFonts w:hint="eastAsia" w:ascii="宋体" w:hAnsi="宋体" w:eastAsia="宋体" w:cs="宋体"/>
                <w:kern w:val="0"/>
                <w:sz w:val="18"/>
                <w:szCs w:val="18"/>
              </w:rPr>
              <w:t>经营行为</w:t>
            </w:r>
            <w:r>
              <w:rPr>
                <w:rFonts w:hint="eastAsia" w:ascii="宋体" w:hAnsi="宋体" w:eastAsia="宋体" w:cs="宋体"/>
                <w:kern w:val="0"/>
                <w:sz w:val="18"/>
                <w:szCs w:val="18"/>
                <w:lang w:eastAsia="zh-CN"/>
              </w:rPr>
              <w:t>、</w:t>
            </w:r>
            <w:r>
              <w:rPr>
                <w:rFonts w:hint="eastAsia" w:ascii="宋体" w:hAnsi="宋体" w:eastAsia="宋体" w:cs="宋体"/>
                <w:kern w:val="0"/>
                <w:sz w:val="18"/>
                <w:szCs w:val="18"/>
              </w:rPr>
              <w:t>经营资质</w:t>
            </w:r>
            <w:r>
              <w:rPr>
                <w:rFonts w:hint="eastAsia" w:ascii="宋体" w:hAnsi="宋体" w:eastAsia="宋体" w:cs="宋体"/>
                <w:kern w:val="0"/>
                <w:sz w:val="18"/>
                <w:szCs w:val="18"/>
                <w:lang w:eastAsia="zh-CN"/>
              </w:rPr>
              <w:t>情况等</w:t>
            </w:r>
          </w:p>
        </w:tc>
        <w:tc>
          <w:tcPr>
            <w:tcW w:w="410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left"/>
              <w:textAlignment w:val="center"/>
              <w:rPr>
                <w:rFonts w:hint="eastAsia" w:asciiTheme="minorEastAsia" w:hAnsiTheme="minorEastAsia" w:eastAsiaTheme="minorEastAsia" w:cstheme="minorEastAsia"/>
                <w:kern w:val="0"/>
                <w:sz w:val="18"/>
                <w:szCs w:val="18"/>
              </w:rPr>
            </w:pPr>
            <w:r>
              <w:rPr>
                <w:rFonts w:hint="eastAsia" w:ascii="宋体" w:hAnsi="宋体" w:eastAsia="宋体" w:cs="宋体"/>
                <w:color w:val="000000"/>
                <w:kern w:val="0"/>
                <w:sz w:val="18"/>
                <w:szCs w:val="18"/>
              </w:rPr>
              <w:t>《国内水路运输管理条例》第四条</w:t>
            </w:r>
            <w:r>
              <w:rPr>
                <w:rFonts w:hint="eastAsia" w:ascii="宋体" w:hAnsi="宋体" w:eastAsia="宋体" w:cs="宋体"/>
                <w:color w:val="000000"/>
                <w:kern w:val="0"/>
                <w:sz w:val="18"/>
                <w:szCs w:val="18"/>
                <w:lang w:eastAsia="zh-CN"/>
              </w:rPr>
              <w:t>，“</w:t>
            </w:r>
            <w:r>
              <w:rPr>
                <w:rFonts w:hint="eastAsia" w:ascii="宋体" w:hAnsi="宋体" w:eastAsia="宋体" w:cs="宋体"/>
                <w:color w:val="000000" w:themeColor="text1"/>
                <w:sz w:val="18"/>
                <w:szCs w:val="18"/>
                <w14:textFill>
                  <w14:solidFill>
                    <w14:schemeClr w14:val="tx1"/>
                  </w14:solidFill>
                </w14:textFill>
              </w:rPr>
              <w:t>县级以上地方人民政府交通运输主管部门主</w:t>
            </w:r>
            <w:bookmarkStart w:id="0" w:name="_GoBack"/>
            <w:bookmarkEnd w:id="0"/>
            <w:r>
              <w:rPr>
                <w:rFonts w:hint="eastAsia" w:ascii="宋体" w:hAnsi="宋体" w:eastAsia="宋体" w:cs="宋体"/>
                <w:color w:val="000000" w:themeColor="text1"/>
                <w:sz w:val="18"/>
                <w:szCs w:val="18"/>
                <w14:textFill>
                  <w14:solidFill>
                    <w14:schemeClr w14:val="tx1"/>
                  </w14:solidFill>
                </w14:textFill>
              </w:rPr>
              <w:t>管本行政区域的水路运输管理工作。县级以上地方人民政府负责水路运输管理的部门或者机构(以下统称负责水路运输管理的部门)承担本条例规定的水路运输管理工作</w:t>
            </w:r>
            <w:r>
              <w:rPr>
                <w:rFonts w:hint="eastAsia" w:ascii="宋体" w:hAnsi="宋体" w:eastAsia="宋体" w:cs="宋体"/>
                <w:color w:val="000000" w:themeColor="text1"/>
                <w:sz w:val="18"/>
                <w:szCs w:val="18"/>
                <w:lang w:eastAsia="zh-CN"/>
                <w14:textFill>
                  <w14:solidFill>
                    <w14:schemeClr w14:val="tx1"/>
                  </w14:solidFill>
                </w14:textFill>
              </w:rPr>
              <w:t>”；</w:t>
            </w:r>
            <w:r>
              <w:rPr>
                <w:rFonts w:hint="eastAsia" w:ascii="宋体" w:hAnsi="宋体" w:eastAsia="宋体" w:cs="宋体"/>
                <w:color w:val="000000"/>
                <w:kern w:val="0"/>
                <w:sz w:val="18"/>
                <w:szCs w:val="18"/>
              </w:rPr>
              <w:t>第五条</w:t>
            </w:r>
            <w:r>
              <w:rPr>
                <w:rFonts w:hint="eastAsia" w:ascii="宋体" w:hAnsi="宋体" w:eastAsia="宋体" w:cs="宋体"/>
                <w:color w:val="000000"/>
                <w:kern w:val="0"/>
                <w:sz w:val="18"/>
                <w:szCs w:val="18"/>
                <w:lang w:eastAsia="zh-CN"/>
              </w:rPr>
              <w:t>，“</w:t>
            </w:r>
            <w:r>
              <w:rPr>
                <w:rFonts w:hint="eastAsia" w:ascii="宋体" w:hAnsi="宋体" w:eastAsia="宋体" w:cs="宋体"/>
                <w:color w:val="000000" w:themeColor="text1"/>
                <w:sz w:val="18"/>
                <w:szCs w:val="18"/>
                <w14:textFill>
                  <w14:solidFill>
                    <w14:schemeClr w14:val="tx1"/>
                  </w14:solidFill>
                </w14:textFill>
              </w:rPr>
              <w:t>国务院交通运输主管部门和负责水路运输管理的部门应当依法对水路运输市场实施监督管理，对水路运输及其辅助业务的违法经营活动实施处罚，并建立经营者诚信管理制度，及时向社会公告监督检查情况</w:t>
            </w:r>
            <w:r>
              <w:rPr>
                <w:rFonts w:hint="eastAsia" w:ascii="宋体" w:hAnsi="宋体" w:eastAsia="宋体" w:cs="宋体"/>
                <w:color w:val="000000"/>
                <w:kern w:val="0"/>
                <w:sz w:val="18"/>
                <w:szCs w:val="18"/>
                <w:lang w:eastAsia="zh-CN"/>
              </w:rPr>
              <w:t>”</w:t>
            </w:r>
            <w:r>
              <w:rPr>
                <w:rFonts w:hint="eastAsia" w:ascii="宋体" w:hAnsi="宋体" w:eastAsia="宋体" w:cs="宋体"/>
                <w:color w:val="000000"/>
                <w:kern w:val="0"/>
                <w:sz w:val="18"/>
                <w:szCs w:val="18"/>
              </w:rPr>
              <w:t>　</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r>
              <w:rPr>
                <w:rFonts w:hint="eastAsia" w:ascii="宋体" w:hAnsi="宋体" w:eastAsia="宋体" w:cs="宋体"/>
                <w:kern w:val="0"/>
                <w:sz w:val="18"/>
                <w:szCs w:val="18"/>
                <w:lang w:eastAsia="zh-CN"/>
              </w:rPr>
              <w:t>第二、三</w:t>
            </w:r>
            <w:r>
              <w:rPr>
                <w:rFonts w:hint="eastAsia" w:ascii="宋体" w:hAnsi="宋体" w:eastAsia="宋体" w:cs="宋体"/>
                <w:kern w:val="0"/>
                <w:sz w:val="18"/>
                <w:szCs w:val="18"/>
              </w:rPr>
              <w:t>季度</w:t>
            </w:r>
          </w:p>
        </w:tc>
        <w:tc>
          <w:tcPr>
            <w:tcW w:w="9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r>
              <w:rPr>
                <w:rFonts w:hint="eastAsia"/>
                <w:sz w:val="18"/>
                <w:szCs w:val="18"/>
              </w:rPr>
              <w:t>现场调阅审查</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Theme="minorEastAsia" w:hAnsiTheme="minorEastAsia" w:eastAsiaTheme="minorEastAsia" w:cstheme="minorEastAsia"/>
                <w:kern w:val="0"/>
                <w:sz w:val="18"/>
                <w:szCs w:val="18"/>
              </w:rPr>
            </w:pPr>
            <w:r>
              <w:rPr>
                <w:rFonts w:hint="eastAsia" w:ascii="宋体" w:hAnsi="宋体" w:eastAsia="宋体" w:cs="宋体"/>
                <w:sz w:val="18"/>
                <w:szCs w:val="18"/>
              </w:rPr>
              <w:t>无</w:t>
            </w:r>
          </w:p>
        </w:tc>
      </w:tr>
      <w:tr>
        <w:tblPrEx>
          <w:tblCellMar>
            <w:top w:w="0" w:type="dxa"/>
            <w:left w:w="108" w:type="dxa"/>
            <w:bottom w:w="0" w:type="dxa"/>
            <w:right w:w="108" w:type="dxa"/>
          </w:tblCellMar>
        </w:tblPrEx>
        <w:trPr>
          <w:trHeight w:val="421" w:hRule="atLeast"/>
        </w:trPr>
        <w:tc>
          <w:tcPr>
            <w:tcW w:w="1072" w:type="dxa"/>
            <w:tcBorders>
              <w:top w:val="nil"/>
              <w:left w:val="single" w:color="auto" w:sz="4" w:space="0"/>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0"/>
                <w:sz w:val="18"/>
                <w:szCs w:val="18"/>
                <w:lang w:val="en-US" w:eastAsia="zh-CN"/>
              </w:rPr>
            </w:pPr>
            <w:r>
              <w:rPr>
                <w:rFonts w:hint="eastAsia" w:ascii="宋体" w:hAnsi="宋体" w:cs="宋体"/>
                <w:kern w:val="0"/>
                <w:sz w:val="18"/>
                <w:szCs w:val="18"/>
                <w:lang w:val="en-US" w:eastAsia="zh-CN"/>
              </w:rPr>
              <w:t>3</w:t>
            </w:r>
          </w:p>
        </w:tc>
        <w:tc>
          <w:tcPr>
            <w:tcW w:w="143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kern w:val="0"/>
                <w:sz w:val="18"/>
                <w:szCs w:val="18"/>
                <w:lang w:eastAsia="zh-CN"/>
              </w:rPr>
            </w:pPr>
          </w:p>
          <w:p>
            <w:pPr>
              <w:keepNext w:val="0"/>
              <w:keepLines w:val="0"/>
              <w:pageBreakBefore w:val="0"/>
              <w:widowControl/>
              <w:kinsoku/>
              <w:wordWrap/>
              <w:overflowPunct/>
              <w:topLinePunct w:val="0"/>
              <w:autoSpaceDE/>
              <w:autoSpaceDN/>
              <w:bidi w:val="0"/>
              <w:adjustRightInd/>
              <w:snapToGrid/>
              <w:spacing w:line="300" w:lineRule="exact"/>
              <w:jc w:val="both"/>
              <w:rPr>
                <w:rFonts w:hint="eastAsia" w:ascii="宋体" w:hAnsi="宋体" w:eastAsia="宋体" w:cs="宋体"/>
                <w:kern w:val="0"/>
                <w:sz w:val="18"/>
                <w:szCs w:val="18"/>
                <w:lang w:val="en-US" w:eastAsia="zh-CN" w:bidi="ar-SA"/>
              </w:rPr>
            </w:pPr>
            <w:r>
              <w:rPr>
                <w:rFonts w:hint="eastAsia" w:ascii="宋体" w:hAnsi="宋体" w:eastAsia="宋体" w:cs="宋体"/>
                <w:kern w:val="0"/>
                <w:sz w:val="18"/>
                <w:szCs w:val="18"/>
                <w:lang w:eastAsia="zh-CN"/>
              </w:rPr>
              <w:t>金普新区交通运输局</w:t>
            </w:r>
          </w:p>
        </w:tc>
        <w:tc>
          <w:tcPr>
            <w:tcW w:w="1600" w:type="dxa"/>
            <w:tcBorders>
              <w:top w:val="nil"/>
              <w:left w:val="nil"/>
              <w:bottom w:val="single" w:color="auto" w:sz="4" w:space="0"/>
              <w:right w:val="single" w:color="auto" w:sz="4" w:space="0"/>
            </w:tcBorders>
            <w:vAlign w:val="center"/>
          </w:tcPr>
          <w:p>
            <w:pPr>
              <w:keepNext w:val="0"/>
              <w:keepLines w:val="0"/>
              <w:pageBreakBefore w:val="0"/>
              <w:widowControl/>
              <w:tabs>
                <w:tab w:val="left" w:pos="231"/>
              </w:tabs>
              <w:kinsoku/>
              <w:wordWrap/>
              <w:overflowPunct/>
              <w:topLinePunct w:val="0"/>
              <w:autoSpaceDE/>
              <w:autoSpaceDN/>
              <w:bidi w:val="0"/>
              <w:adjustRightInd/>
              <w:snapToGrid/>
              <w:spacing w:line="300" w:lineRule="exact"/>
              <w:ind w:left="0" w:leftChars="0"/>
              <w:jc w:val="left"/>
              <w:textAlignment w:val="auto"/>
              <w:outlineLvl w:val="9"/>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eastAsia" w:ascii="宋体" w:hAnsi="宋体" w:eastAsia="宋体" w:cs="宋体"/>
                <w:kern w:val="0"/>
                <w:sz w:val="18"/>
                <w:szCs w:val="18"/>
                <w:lang w:eastAsia="zh-CN"/>
              </w:rPr>
            </w:pPr>
            <w:r>
              <w:rPr>
                <w:rFonts w:hint="eastAsia" w:ascii="宋体" w:hAnsi="宋体" w:eastAsia="宋体" w:cs="宋体"/>
                <w:kern w:val="0"/>
                <w:sz w:val="18"/>
                <w:szCs w:val="18"/>
                <w:lang w:eastAsia="zh-CN"/>
              </w:rPr>
              <w:t>港口企业</w:t>
            </w:r>
          </w:p>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宋体" w:hAnsi="宋体" w:eastAsia="宋体" w:cs="宋体"/>
                <w:kern w:val="0"/>
                <w:sz w:val="18"/>
                <w:szCs w:val="18"/>
                <w:lang w:val="en-US"/>
              </w:rPr>
            </w:pPr>
            <w:r>
              <w:rPr>
                <w:rFonts w:hint="eastAsia" w:ascii="宋体" w:hAnsi="宋体" w:eastAsia="宋体" w:cs="宋体"/>
                <w:kern w:val="0"/>
                <w:sz w:val="18"/>
                <w:szCs w:val="18"/>
                <w:lang w:val="en-US" w:eastAsia="zh-CN"/>
              </w:rPr>
              <w:t>(1家)</w:t>
            </w:r>
          </w:p>
        </w:tc>
        <w:tc>
          <w:tcPr>
            <w:tcW w:w="2252" w:type="dxa"/>
            <w:tcBorders>
              <w:top w:val="nil"/>
              <w:left w:val="nil"/>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300" w:lineRule="exact"/>
              <w:rPr>
                <w:rFonts w:hint="eastAsia" w:ascii="宋体" w:hAnsi="宋体" w:eastAsia="宋体" w:cs="宋体"/>
                <w:kern w:val="0"/>
                <w:sz w:val="18"/>
                <w:szCs w:val="18"/>
              </w:rPr>
            </w:pPr>
            <w:r>
              <w:rPr>
                <w:rFonts w:hint="eastAsia" w:ascii="宋体" w:hAnsi="宋体" w:eastAsia="宋体" w:cs="宋体"/>
                <w:sz w:val="18"/>
                <w:szCs w:val="18"/>
              </w:rPr>
              <w:t>企业有无违规经营、超范围经营行为；是否有扰乱港口经营秩序行为；经营条件是否发生变化；是否落实安全生产主体责任</w:t>
            </w:r>
            <w:r>
              <w:rPr>
                <w:rFonts w:hint="eastAsia" w:ascii="宋体" w:hAnsi="宋体" w:eastAsia="宋体" w:cs="宋体"/>
                <w:sz w:val="18"/>
                <w:szCs w:val="18"/>
                <w:lang w:eastAsia="zh-CN"/>
              </w:rPr>
              <w:t>等</w:t>
            </w:r>
          </w:p>
        </w:tc>
        <w:tc>
          <w:tcPr>
            <w:tcW w:w="4108" w:type="dxa"/>
            <w:tcBorders>
              <w:top w:val="nil"/>
              <w:left w:val="nil"/>
              <w:bottom w:val="single" w:color="auto" w:sz="4" w:space="0"/>
              <w:right w:val="single" w:color="auto" w:sz="4" w:space="0"/>
            </w:tcBorders>
            <w:vAlign w:val="center"/>
          </w:tcPr>
          <w:p>
            <w:pPr>
              <w:keepNext w:val="0"/>
              <w:keepLines w:val="0"/>
              <w:pageBreakBefore w:val="0"/>
              <w:widowControl/>
              <w:shd w:val="clear" w:color="auto" w:fill="FFFFFF"/>
              <w:kinsoku/>
              <w:wordWrap/>
              <w:overflowPunct/>
              <w:topLinePunct w:val="0"/>
              <w:autoSpaceDE/>
              <w:autoSpaceDN/>
              <w:bidi w:val="0"/>
              <w:adjustRightInd/>
              <w:snapToGrid/>
              <w:spacing w:line="300" w:lineRule="exact"/>
              <w:rPr>
                <w:rFonts w:hint="eastAsia" w:ascii="宋体" w:hAnsi="宋体" w:eastAsia="宋体" w:cs="宋体"/>
                <w:kern w:val="0"/>
                <w:sz w:val="18"/>
                <w:szCs w:val="18"/>
              </w:rPr>
            </w:pPr>
            <w:r>
              <w:rPr>
                <w:rFonts w:hint="eastAsia" w:ascii="宋体" w:hAnsi="宋体" w:eastAsia="宋体" w:cs="宋体"/>
                <w:kern w:val="0"/>
                <w:sz w:val="18"/>
                <w:szCs w:val="18"/>
              </w:rPr>
              <w:t>《港口经营管理规定》第十二条</w:t>
            </w:r>
            <w:r>
              <w:rPr>
                <w:rFonts w:hint="eastAsia" w:ascii="宋体" w:hAnsi="宋体" w:eastAsia="宋体" w:cs="宋体"/>
                <w:kern w:val="0"/>
                <w:sz w:val="18"/>
                <w:szCs w:val="18"/>
                <w:lang w:eastAsia="zh-CN"/>
              </w:rPr>
              <w:t>，“</w:t>
            </w:r>
            <w:r>
              <w:rPr>
                <w:rFonts w:hint="eastAsia" w:ascii="宋体" w:hAnsi="宋体" w:eastAsia="宋体" w:cs="宋体"/>
                <w:color w:val="333333"/>
                <w:spacing w:val="8"/>
                <w:kern w:val="0"/>
                <w:sz w:val="18"/>
                <w:szCs w:val="18"/>
              </w:rPr>
              <w:t>港口经营人应当按照港口行政管理部门许可的经营范围从事港口经营活动</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第二十一条</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港口经营人、港口理货业务经营人应当建立健全安全生产责任制和安全生产规章制度，推进安全生产标准化建设，依法提取和使用安全生产费用，完善安全生产条件，建立实施安全风险分级管控和隐患排查治理制度，并严格落实治理措施；对从业人员进行安全生产教育、培训并如实记录相关情况，确保安全生产</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第三十一条</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港口经营人、港口理货业务经营人以及从事船舶港口服务的经营人应当遵守国家有关港口经营价格和收费的规定，应当在其经营场所公布经营服务收费项目和收费标准，并通过多种渠道公开，使用国家规定的港口经营票据</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第四十二条</w:t>
            </w:r>
            <w:r>
              <w:rPr>
                <w:rFonts w:hint="eastAsia" w:ascii="宋体" w:hAnsi="宋体" w:eastAsia="宋体" w:cs="宋体"/>
                <w:color w:val="333333"/>
                <w:spacing w:val="8"/>
                <w:kern w:val="0"/>
                <w:sz w:val="18"/>
                <w:szCs w:val="18"/>
                <w:lang w:eastAsia="zh-CN"/>
              </w:rPr>
              <w:t>，“</w:t>
            </w:r>
            <w:r>
              <w:rPr>
                <w:rFonts w:hint="eastAsia" w:ascii="宋体" w:hAnsi="宋体" w:eastAsia="宋体" w:cs="宋体"/>
                <w:color w:val="333333"/>
                <w:spacing w:val="8"/>
                <w:kern w:val="0"/>
                <w:sz w:val="18"/>
                <w:szCs w:val="18"/>
              </w:rPr>
              <w:t>经检查或者调查证实，港口经营人在取得经营许可后又不符合本规定第七、八条规定一项或者几项条件的，由港口行政管理部门责令其停止经营，限期改正；逾期不改正的，由作出行政许可决定的行政机关吊销《港口经营许可证》，并以适当方式向社会公布。</w:t>
            </w:r>
            <w:r>
              <w:rPr>
                <w:rFonts w:hint="eastAsia" w:ascii="宋体" w:hAnsi="宋体" w:eastAsia="宋体" w:cs="宋体"/>
                <w:color w:val="333333"/>
                <w:spacing w:val="8"/>
                <w:kern w:val="0"/>
                <w:sz w:val="18"/>
                <w:szCs w:val="18"/>
                <w:lang w:eastAsia="zh-CN"/>
              </w:rPr>
              <w:t>”</w:t>
            </w:r>
          </w:p>
        </w:tc>
        <w:tc>
          <w:tcPr>
            <w:tcW w:w="1005"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kern w:val="0"/>
                <w:sz w:val="18"/>
                <w:szCs w:val="18"/>
              </w:rPr>
            </w:pPr>
          </w:p>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kern w:val="0"/>
                <w:sz w:val="18"/>
                <w:szCs w:val="18"/>
              </w:rPr>
            </w:pPr>
            <w:r>
              <w:rPr>
                <w:rFonts w:hint="eastAsia" w:ascii="宋体" w:hAnsi="宋体" w:eastAsia="宋体" w:cs="宋体"/>
                <w:kern w:val="0"/>
                <w:sz w:val="18"/>
                <w:szCs w:val="18"/>
                <w:lang w:eastAsia="zh-CN"/>
              </w:rPr>
              <w:t>第二、三</w:t>
            </w:r>
            <w:r>
              <w:rPr>
                <w:rFonts w:hint="eastAsia" w:ascii="宋体" w:hAnsi="宋体" w:eastAsia="宋体" w:cs="宋体"/>
                <w:kern w:val="0"/>
                <w:sz w:val="18"/>
                <w:szCs w:val="18"/>
              </w:rPr>
              <w:t>季度</w:t>
            </w:r>
          </w:p>
        </w:tc>
        <w:tc>
          <w:tcPr>
            <w:tcW w:w="988"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jc w:val="center"/>
              <w:rPr>
                <w:rFonts w:hint="eastAsia" w:ascii="宋体" w:hAnsi="宋体" w:eastAsia="宋体" w:cs="宋体"/>
                <w:kern w:val="0"/>
                <w:sz w:val="18"/>
                <w:szCs w:val="18"/>
                <w:lang w:eastAsia="zh-CN"/>
              </w:rPr>
            </w:pPr>
            <w:r>
              <w:rPr>
                <w:rFonts w:hint="eastAsia"/>
                <w:sz w:val="18"/>
                <w:szCs w:val="18"/>
              </w:rPr>
              <w:t>现场调阅审查</w:t>
            </w:r>
          </w:p>
        </w:tc>
        <w:tc>
          <w:tcPr>
            <w:tcW w:w="1494" w:type="dxa"/>
            <w:tcBorders>
              <w:top w:val="nil"/>
              <w:left w:val="nil"/>
              <w:bottom w:val="single" w:color="auto" w:sz="4" w:space="0"/>
              <w:right w:val="single" w:color="auto" w:sz="4" w:space="0"/>
            </w:tcBorders>
            <w:vAlign w:val="center"/>
          </w:tcPr>
          <w:p>
            <w:pPr>
              <w:keepNext w:val="0"/>
              <w:keepLines w:val="0"/>
              <w:pageBreakBefore w:val="0"/>
              <w:widowControl/>
              <w:kinsoku/>
              <w:wordWrap/>
              <w:overflowPunct/>
              <w:topLinePunct w:val="0"/>
              <w:autoSpaceDE/>
              <w:autoSpaceDN/>
              <w:bidi w:val="0"/>
              <w:adjustRightInd/>
              <w:snapToGrid/>
              <w:spacing w:line="300" w:lineRule="exact"/>
              <w:ind w:left="0" w:leftChars="0"/>
              <w:jc w:val="center"/>
              <w:textAlignment w:val="auto"/>
              <w:outlineLvl w:val="9"/>
              <w:rPr>
                <w:rFonts w:hint="default" w:ascii="宋体" w:hAnsi="宋体" w:eastAsia="宋体" w:cs="宋体"/>
                <w:kern w:val="0"/>
                <w:sz w:val="18"/>
                <w:szCs w:val="18"/>
                <w:lang w:val="en-US" w:eastAsia="zh-CN"/>
              </w:rPr>
            </w:pPr>
            <w:r>
              <w:rPr>
                <w:rFonts w:hint="eastAsia" w:ascii="宋体" w:hAnsi="宋体" w:eastAsia="宋体" w:cs="宋体"/>
                <w:kern w:val="0"/>
                <w:sz w:val="18"/>
                <w:szCs w:val="18"/>
              </w:rPr>
              <w:t>无</w:t>
            </w:r>
          </w:p>
        </w:tc>
      </w:tr>
    </w:tbl>
    <w:p>
      <w:pPr>
        <w:keepNext w:val="0"/>
        <w:keepLines w:val="0"/>
        <w:pageBreakBefore w:val="0"/>
        <w:kinsoku/>
        <w:wordWrap/>
        <w:overflowPunct/>
        <w:topLinePunct w:val="0"/>
        <w:autoSpaceDE/>
        <w:autoSpaceDN/>
        <w:bidi w:val="0"/>
        <w:adjustRightInd/>
        <w:snapToGrid/>
        <w:spacing w:line="300" w:lineRule="exact"/>
        <w:ind w:left="0" w:leftChars="0" w:right="640" w:firstLine="0" w:firstLineChars="0"/>
        <w:jc w:val="left"/>
        <w:textAlignment w:val="auto"/>
        <w:outlineLvl w:val="9"/>
        <w:rPr>
          <w:rFonts w:hint="eastAsia" w:asciiTheme="minorEastAsia" w:hAnsiTheme="minorEastAsia" w:eastAsiaTheme="minorEastAsia" w:cstheme="minorEastAsia"/>
          <w:sz w:val="32"/>
          <w:szCs w:val="32"/>
        </w:rPr>
      </w:pPr>
      <w:r>
        <w:rPr>
          <w:rFonts w:hint="eastAsia" w:asciiTheme="minorEastAsia" w:hAnsiTheme="minorEastAsia" w:eastAsiaTheme="minorEastAsia" w:cstheme="minorEastAsia"/>
          <w:kern w:val="0"/>
          <w:sz w:val="18"/>
          <w:szCs w:val="18"/>
        </w:rPr>
        <w:t xml:space="preserve">   </w:t>
      </w:r>
      <w:r>
        <w:rPr>
          <w:rFonts w:hint="eastAsia" w:asciiTheme="minorEastAsia" w:hAnsiTheme="minorEastAsia" w:eastAsiaTheme="minorEastAsia" w:cstheme="minorEastAsia"/>
          <w:kern w:val="0"/>
          <w:sz w:val="18"/>
          <w:szCs w:val="18"/>
          <w:lang w:val="en-US" w:eastAsia="zh-CN"/>
        </w:rPr>
        <w:t xml:space="preserve"> </w:t>
      </w:r>
    </w:p>
    <w:sectPr>
      <w:footerReference r:id="rId3" w:type="default"/>
      <w:pgSz w:w="16838" w:h="11906" w:orient="landscape"/>
      <w:pgMar w:top="1797" w:right="1440" w:bottom="1797" w:left="1440" w:header="851" w:footer="992" w:gutter="0"/>
      <w:pgNumType w:fmt="numberInDash"/>
      <w:cols w:space="0" w:num="1"/>
      <w:rtlGutter w:val="0"/>
      <w:docGrid w:type="linesAndChars" w:linePitch="319" w:charSpace="64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altName w:val="Segoe UI"/>
    <w:panose1 w:val="020F0502020204030204"/>
    <w:charset w:val="00"/>
    <w:family w:val="swiss"/>
    <w:pitch w:val="default"/>
    <w:sig w:usb0="00000000" w:usb1="00000000" w:usb2="00000001" w:usb3="00000000" w:csb0="0000019F" w:csb1="00000000"/>
  </w:font>
  <w:font w:name="Segoe UI">
    <w:panose1 w:val="020B0502040204020203"/>
    <w:charset w:val="00"/>
    <w:family w:val="auto"/>
    <w:pitch w:val="default"/>
    <w:sig w:usb0="E4002EFF" w:usb1="C000E47F" w:usb2="00000009" w:usb3="00000000" w:csb0="2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jc w:val="center"/>
      <w:rPr>
        <w:rFonts w:cs="Times New Roman"/>
      </w:rPr>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025"/>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wps:txbx>
                    <wps:bodyPr wrap="none" lIns="0" tIns="0" rIns="0" bIns="0" upright="0">
                      <a:spAutoFit/>
                    </wps:bodyPr>
                  </wps:wsp>
                </a:graphicData>
              </a:graphic>
            </wp:anchor>
          </w:drawing>
        </mc:Choice>
        <mc:Fallback>
          <w:pict>
            <v:shape id="文本框 1025"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">
              <v:fill on="f" focussize="0,0"/>
              <v:stroke on="f"/>
              <v:imagedata o:title=""/>
              <o:lock v:ext="edit" aspectratio="f"/>
              <v:textbox inset="0mm,0mm,0mm,0mm" style="mso-fit-shape-to-text:t;">
                <w:txbxContent>
                  <w:p>
                    <w:pPr>
                      <w:snapToGrid w:val="0"/>
                      <w:rPr>
                        <w:rFonts w:hint="eastAsia" w:asciiTheme="minorEastAsia" w:hAnsiTheme="minorEastAsia" w:eastAsiaTheme="minorEastAsia" w:cstheme="minorEastAsia"/>
                        <w:sz w:val="28"/>
                        <w:szCs w:val="28"/>
                        <w:lang w:eastAsia="zh-CN"/>
                      </w:rPr>
                    </w:pPr>
                    <w:r>
                      <w:rPr>
                        <w:rFonts w:hint="eastAsia" w:asciiTheme="minorEastAsia" w:hAnsiTheme="minorEastAsia" w:eastAsiaTheme="minorEastAsia" w:cstheme="minorEastAsia"/>
                        <w:sz w:val="28"/>
                        <w:szCs w:val="28"/>
                        <w:lang w:eastAsia="zh-CN"/>
                      </w:rPr>
                      <w:fldChar w:fldCharType="begin"/>
                    </w:r>
                    <w:r>
                      <w:rPr>
                        <w:rFonts w:hint="eastAsia" w:asciiTheme="minorEastAsia" w:hAnsiTheme="minorEastAsia" w:eastAsiaTheme="minorEastAsia" w:cstheme="minorEastAsia"/>
                        <w:sz w:val="28"/>
                        <w:szCs w:val="28"/>
                        <w:lang w:eastAsia="zh-CN"/>
                      </w:rPr>
                      <w:instrText xml:space="preserve"> PAGE  \* MERGEFORMAT </w:instrText>
                    </w:r>
                    <w:r>
                      <w:rPr>
                        <w:rFonts w:hint="eastAsia" w:asciiTheme="minorEastAsia" w:hAnsiTheme="minorEastAsia" w:eastAsiaTheme="minorEastAsia" w:cstheme="minorEastAsia"/>
                        <w:sz w:val="28"/>
                        <w:szCs w:val="28"/>
                        <w:lang w:eastAsia="zh-CN"/>
                      </w:rPr>
                      <w:fldChar w:fldCharType="separate"/>
                    </w:r>
                    <w:r>
                      <w:rPr>
                        <w:rFonts w:hint="eastAsia" w:asciiTheme="minorEastAsia" w:hAnsiTheme="minorEastAsia" w:eastAsiaTheme="minorEastAsia" w:cstheme="minorEastAsia"/>
                        <w:sz w:val="28"/>
                        <w:szCs w:val="28"/>
                      </w:rPr>
                      <w:t>- 1 -</w:t>
                    </w:r>
                    <w:r>
                      <w:rPr>
                        <w:rFonts w:hint="eastAsia" w:asciiTheme="minorEastAsia" w:hAnsiTheme="minorEastAsia" w:eastAsiaTheme="minorEastAsia" w:cstheme="minorEastAsia"/>
                        <w:sz w:val="28"/>
                        <w:szCs w:val="28"/>
                        <w:lang w:eastAsia="zh-CN"/>
                      </w:rPr>
                      <w:fldChar w:fldCharType="end"/>
                    </w:r>
                  </w:p>
                </w:txbxContent>
              </v:textbox>
            </v:shape>
          </w:pict>
        </mc:Fallback>
      </mc:AlternateContent>
    </w:r>
  </w:p>
  <w:p>
    <w:pPr>
      <w:pStyle w:val="5"/>
      <w:rPr>
        <w:rFonts w:cs="Times New Roman"/>
      </w:rPr>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doNotDisplayPageBoundaries w:val="1"/>
  <w:embedSystemFonts/>
  <w:bordersDoNotSurroundHeader w:val="1"/>
  <w:bordersDoNotSurroundFooter w:val="1"/>
  <w:documentProtection w:enforcement="0"/>
  <w:defaultTabStop w:val="420"/>
  <w:doNotHyphenateCaps/>
  <w:drawingGridHorizontalSpacing w:val="156"/>
  <w:drawingGridVerticalSpacing w:val="290"/>
  <w:displayHorizontalDrawingGridEvery w:val="0"/>
  <w:displayVerticalDrawingGridEvery w:val="2"/>
  <w:characterSpacingControl w:val="compressPunctuation"/>
  <w:noLineBreaksAfter w:lang="zh-CN" w:val="$([{£¥·‘“〈《「『【〔〖〝﹙﹛﹝＄（．［｛￡￥"/>
  <w:noLineBreaksBefore w:lang="zh-CN" w:val="!%),.:;&gt;?]}¢¨°·ˇˉ―‖’”…‰′″›℃∶、。〃〉》」』】〕〗〞︶︺︾﹀﹄﹚﹜﹞！＂％＇），．：；？］｀｜｝～￠"/>
  <w:doNotValidateAgainstSchema/>
  <w:doNotDemarcateInvalidXml/>
  <w:hdrShapeDefaults>
    <o:shapelayout v:ext="edit">
      <o:idmap v:ext="edit" data="3,4"/>
    </o:shapelayout>
  </w:hdrShapeDefaults>
  <w:compat>
    <w:spaceForUL/>
    <w:balanceSingleByteDoubleByteWidth/>
    <w:doNotLeaveBackslashAlone/>
    <w:ulTrailSpace/>
    <w:doNotExpandShiftReturn/>
    <w:adjustLineHeightInTable/>
    <w:useFELayout/>
    <w:underlineTabInNumLis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ThiODkxYzZlNTIyMWRhMTgyOTcxODUxOWI0MzE5NDMifQ=="/>
  </w:docVars>
  <w:rsids>
    <w:rsidRoot w:val="00B470F8"/>
    <w:rsid w:val="000146B6"/>
    <w:rsid w:val="00015498"/>
    <w:rsid w:val="00016200"/>
    <w:rsid w:val="000360D6"/>
    <w:rsid w:val="00065002"/>
    <w:rsid w:val="001379D3"/>
    <w:rsid w:val="0017271C"/>
    <w:rsid w:val="001D2D3A"/>
    <w:rsid w:val="001E181E"/>
    <w:rsid w:val="00265028"/>
    <w:rsid w:val="00267C09"/>
    <w:rsid w:val="0029106C"/>
    <w:rsid w:val="002F2B48"/>
    <w:rsid w:val="00390573"/>
    <w:rsid w:val="003952E1"/>
    <w:rsid w:val="003B09CF"/>
    <w:rsid w:val="003F2D41"/>
    <w:rsid w:val="00434F10"/>
    <w:rsid w:val="00477D7D"/>
    <w:rsid w:val="00517009"/>
    <w:rsid w:val="0053540E"/>
    <w:rsid w:val="00580F5D"/>
    <w:rsid w:val="005870F2"/>
    <w:rsid w:val="00606A2F"/>
    <w:rsid w:val="00666D93"/>
    <w:rsid w:val="0068458B"/>
    <w:rsid w:val="006A2F1C"/>
    <w:rsid w:val="006A54DB"/>
    <w:rsid w:val="006B5070"/>
    <w:rsid w:val="006E24AA"/>
    <w:rsid w:val="00766D3C"/>
    <w:rsid w:val="007C4B0B"/>
    <w:rsid w:val="007E728A"/>
    <w:rsid w:val="007F5136"/>
    <w:rsid w:val="00807F73"/>
    <w:rsid w:val="00833182"/>
    <w:rsid w:val="008639AC"/>
    <w:rsid w:val="00866F56"/>
    <w:rsid w:val="008A1052"/>
    <w:rsid w:val="008B5C6A"/>
    <w:rsid w:val="008F4462"/>
    <w:rsid w:val="0094232F"/>
    <w:rsid w:val="0095776D"/>
    <w:rsid w:val="00961B24"/>
    <w:rsid w:val="0096615D"/>
    <w:rsid w:val="00996CCD"/>
    <w:rsid w:val="009C2405"/>
    <w:rsid w:val="009D2EDD"/>
    <w:rsid w:val="009E4DAE"/>
    <w:rsid w:val="00A31F1D"/>
    <w:rsid w:val="00A42F9C"/>
    <w:rsid w:val="00A845F7"/>
    <w:rsid w:val="00B037A3"/>
    <w:rsid w:val="00B1601B"/>
    <w:rsid w:val="00B470F8"/>
    <w:rsid w:val="00B82BF1"/>
    <w:rsid w:val="00BA7358"/>
    <w:rsid w:val="00BB1490"/>
    <w:rsid w:val="00BC0582"/>
    <w:rsid w:val="00C67395"/>
    <w:rsid w:val="00C84C9C"/>
    <w:rsid w:val="00CD02BD"/>
    <w:rsid w:val="00CF3CBA"/>
    <w:rsid w:val="00CF7310"/>
    <w:rsid w:val="00D84171"/>
    <w:rsid w:val="00E15248"/>
    <w:rsid w:val="00E25195"/>
    <w:rsid w:val="00E42525"/>
    <w:rsid w:val="00E45772"/>
    <w:rsid w:val="00E60500"/>
    <w:rsid w:val="00E735F8"/>
    <w:rsid w:val="00E829FC"/>
    <w:rsid w:val="00EF13AE"/>
    <w:rsid w:val="00EF3269"/>
    <w:rsid w:val="00F25CD8"/>
    <w:rsid w:val="00F446C0"/>
    <w:rsid w:val="00FB4D47"/>
    <w:rsid w:val="00FC6C40"/>
    <w:rsid w:val="00FD55CF"/>
    <w:rsid w:val="03171023"/>
    <w:rsid w:val="13BF4674"/>
    <w:rsid w:val="18664AF3"/>
    <w:rsid w:val="18A77E3E"/>
    <w:rsid w:val="1B1978E3"/>
    <w:rsid w:val="24580B20"/>
    <w:rsid w:val="28B60FB7"/>
    <w:rsid w:val="2A2F74A1"/>
    <w:rsid w:val="2D4B1EA7"/>
    <w:rsid w:val="35D33E92"/>
    <w:rsid w:val="362C584D"/>
    <w:rsid w:val="3A890CDB"/>
    <w:rsid w:val="42C63948"/>
    <w:rsid w:val="48BE01CD"/>
    <w:rsid w:val="4D114ED5"/>
    <w:rsid w:val="5A836DD4"/>
    <w:rsid w:val="5C922787"/>
    <w:rsid w:val="5ECA0B62"/>
    <w:rsid w:val="657B037A"/>
    <w:rsid w:val="670C4D83"/>
    <w:rsid w:val="6ABB4BB3"/>
    <w:rsid w:val="6CF7046B"/>
    <w:rsid w:val="72E11AED"/>
    <w:rsid w:val="7476457F"/>
    <w:rsid w:val="77187C65"/>
    <w:rsid w:val="782420C1"/>
    <w:rsid w:val="7EEF2710"/>
    <w:rsid w:val="7FF63C5D"/>
  </w:rsids>
  <m:mathPr>
    <m:mathFont m:val="Cambria Math"/>
    <m:brkBin m:val="before"/>
    <m:brkBinSub m:val="--"/>
    <m:smallFrac m:val="0"/>
    <m:dispDef/>
    <m:lMargin m:val="0"/>
    <m:rMargin m:val="0"/>
    <m:defJc m:val="centerGroup"/>
    <m:wrapIndent m:val="1440"/>
    <m:intLim m:val="subSup"/>
    <m:naryLim m:val="undOvr"/>
  </m:mathPr>
  <w:doNotAutoCompressPictures/>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ocked="1"/>
    <w:lsdException w:qFormat="1" w:uiPriority="0" w:name="heading 2" w:locked="1"/>
    <w:lsdException w:qFormat="1" w:uiPriority="0" w:name="heading 3" w:locked="1"/>
    <w:lsdException w:qFormat="1" w:uiPriority="0" w:name="heading 4" w:locked="1"/>
    <w:lsdException w:qFormat="1" w:uiPriority="0" w:name="heading 5" w:locked="1"/>
    <w:lsdException w:qFormat="1" w:uiPriority="0" w:name="heading 6" w:locked="1"/>
    <w:lsdException w:qFormat="1" w:uiPriority="0" w:name="heading 7" w:locked="1"/>
    <w:lsdException w:qFormat="1" w:uiPriority="0" w:name="heading 8" w:locked="1"/>
    <w:lsdException w:qFormat="1" w:uiPriority="0" w:name="heading 9" w:locked="1"/>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nhideWhenUsed="0" w:uiPriority="0" w:semiHidden="0" w:name="toc 1" w:locked="1"/>
    <w:lsdException w:unhideWhenUsed="0" w:uiPriority="0" w:semiHidden="0" w:name="toc 2" w:locked="1"/>
    <w:lsdException w:unhideWhenUsed="0" w:uiPriority="0" w:semiHidden="0" w:name="toc 3" w:locked="1"/>
    <w:lsdException w:unhideWhenUsed="0" w:uiPriority="0" w:semiHidden="0" w:name="toc 4" w:locked="1"/>
    <w:lsdException w:unhideWhenUsed="0" w:uiPriority="0" w:semiHidden="0" w:name="toc 5" w:locked="1"/>
    <w:lsdException w:unhideWhenUsed="0" w:uiPriority="0" w:semiHidden="0" w:name="toc 6" w:locked="1"/>
    <w:lsdException w:unhideWhenUsed="0" w:uiPriority="0" w:semiHidden="0" w:name="toc 7" w:locked="1"/>
    <w:lsdException w:unhideWhenUsed="0" w:uiPriority="0" w:semiHidden="0" w:name="toc 8" w:locked="1"/>
    <w:lsdException w:unhideWhenUsed="0" w:uiPriority="0" w:semiHidden="0" w:name="toc 9" w:locked="1"/>
    <w:lsdException w:uiPriority="99" w:name="Normal Indent"/>
    <w:lsdException w:uiPriority="99" w:name="footnote text"/>
    <w:lsdException w:uiPriority="99" w:name="annotation text"/>
    <w:lsdException w:qFormat="1" w:unhideWhenUsed="0" w:uiPriority="99" w:name="header"/>
    <w:lsdException w:qFormat="1" w:unhideWhenUsed="0" w:uiPriority="99" w:semiHidden="0" w:name="footer"/>
    <w:lsdException w:uiPriority="99" w:name="index heading"/>
    <w:lsdException w:qFormat="1" w:uiPriority="0" w:name="caption" w:locked="1"/>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99"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qFormat="1" w:uiPriority="99" w:semiHidden="0"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0" w:semiHidden="0" w:name="Title" w:locked="1"/>
    <w:lsdException w:uiPriority="99" w:name="Closing"/>
    <w:lsdException w:uiPriority="99" w:name="Signature"/>
    <w:lsdException w:qFormat="1" w:unhideWhenUsed="0" w:uiPriority="99"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0" w:semiHidden="0" w:name="Subtitle" w:locked="1"/>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nhideWhenUsed="0" w:uiPriority="99" w:semiHidden="0" w:name="Hyperlink"/>
    <w:lsdException w:uiPriority="99" w:name="FollowedHyperlink"/>
    <w:lsdException w:qFormat="1" w:unhideWhenUsed="0" w:uiPriority="0" w:semiHidden="0" w:name="Strong" w:locked="1"/>
    <w:lsdException w:qFormat="1" w:unhideWhenUsed="0" w:uiPriority="0" w:semiHidden="0" w:name="Emphasis" w:locked="1"/>
    <w:lsdException w:uiPriority="99" w:name="Document Map"/>
    <w:lsdException w:uiPriority="99" w:name="Plain Text"/>
    <w:lsdException w:uiPriority="99" w:name="E-mail Signature"/>
    <w:lsdException w:uiPriority="99" w:name="Normal (Web)"/>
    <w:lsdException w:uiPriority="99" w:name="HTML Acronym"/>
    <w:lsdException w:qFormat="1" w:unhideWhenUsed="0" w:uiPriority="0" w:semiHidden="0"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semiHidden="0"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99" w:name="Balloon Text"/>
    <w:lsdException w:unhideWhenUsed="0" w:uiPriority="0" w:semiHidden="0" w:name="Table Grid" w:locked="1"/>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Calibri"/>
      <w:kern w:val="2"/>
      <w:sz w:val="32"/>
      <w:szCs w:val="21"/>
      <w:lang w:val="en-US" w:eastAsia="zh-CN" w:bidi="ar-SA"/>
    </w:rPr>
  </w:style>
  <w:style w:type="character" w:default="1" w:styleId="8">
    <w:name w:val="Default Paragraph Font"/>
    <w:autoRedefine/>
    <w:semiHidden/>
    <w:qFormat/>
    <w:uiPriority w:val="99"/>
  </w:style>
  <w:style w:type="table" w:default="1" w:styleId="7">
    <w:name w:val="Normal Table"/>
    <w:unhideWhenUsed/>
    <w:qFormat/>
    <w:uiPriority w:val="99"/>
    <w:tblPr>
      <w:tblCellMar>
        <w:top w:w="0" w:type="dxa"/>
        <w:left w:w="108" w:type="dxa"/>
        <w:bottom w:w="0" w:type="dxa"/>
        <w:right w:w="108" w:type="dxa"/>
      </w:tblCellMar>
    </w:tblPr>
  </w:style>
  <w:style w:type="paragraph" w:styleId="2">
    <w:name w:val="HTML Address"/>
    <w:basedOn w:val="1"/>
    <w:qFormat/>
    <w:uiPriority w:val="0"/>
    <w:rPr>
      <w:i/>
      <w:iCs/>
    </w:rPr>
  </w:style>
  <w:style w:type="paragraph" w:styleId="3">
    <w:name w:val="List 2"/>
    <w:basedOn w:val="1"/>
    <w:unhideWhenUsed/>
    <w:qFormat/>
    <w:uiPriority w:val="99"/>
    <w:pPr>
      <w:ind w:left="100" w:leftChars="200" w:hanging="200" w:hangingChars="200"/>
    </w:pPr>
  </w:style>
  <w:style w:type="paragraph" w:styleId="4">
    <w:name w:val="Balloon Text"/>
    <w:basedOn w:val="1"/>
    <w:link w:val="12"/>
    <w:semiHidden/>
    <w:qFormat/>
    <w:uiPriority w:val="99"/>
    <w:rPr>
      <w:sz w:val="18"/>
      <w:szCs w:val="18"/>
    </w:rPr>
  </w:style>
  <w:style w:type="paragraph" w:styleId="5">
    <w:name w:val="footer"/>
    <w:basedOn w:val="1"/>
    <w:link w:val="13"/>
    <w:autoRedefine/>
    <w:qFormat/>
    <w:uiPriority w:val="99"/>
    <w:pPr>
      <w:tabs>
        <w:tab w:val="center" w:pos="4153"/>
        <w:tab w:val="right" w:pos="8306"/>
      </w:tabs>
      <w:snapToGrid w:val="0"/>
      <w:jc w:val="left"/>
    </w:pPr>
    <w:rPr>
      <w:sz w:val="18"/>
      <w:szCs w:val="18"/>
    </w:rPr>
  </w:style>
  <w:style w:type="paragraph" w:styleId="6">
    <w:name w:val="header"/>
    <w:basedOn w:val="1"/>
    <w:link w:val="14"/>
    <w:semiHidden/>
    <w:qFormat/>
    <w:uiPriority w:val="99"/>
    <w:pPr>
      <w:pBdr>
        <w:bottom w:val="single" w:color="auto" w:sz="6" w:space="1"/>
      </w:pBdr>
      <w:tabs>
        <w:tab w:val="center" w:pos="4153"/>
        <w:tab w:val="right" w:pos="8306"/>
      </w:tabs>
      <w:snapToGrid w:val="0"/>
      <w:jc w:val="center"/>
    </w:pPr>
    <w:rPr>
      <w:sz w:val="18"/>
      <w:szCs w:val="18"/>
    </w:rPr>
  </w:style>
  <w:style w:type="character" w:styleId="9">
    <w:name w:val="page number"/>
    <w:basedOn w:val="8"/>
    <w:qFormat/>
    <w:uiPriority w:val="99"/>
  </w:style>
  <w:style w:type="character" w:styleId="10">
    <w:name w:val="Hyperlink"/>
    <w:basedOn w:val="8"/>
    <w:qFormat/>
    <w:uiPriority w:val="99"/>
    <w:rPr>
      <w:color w:val="0000FF"/>
      <w:u w:val="single"/>
    </w:rPr>
  </w:style>
  <w:style w:type="paragraph" w:customStyle="1" w:styleId="11">
    <w:name w:val="Revision"/>
    <w:autoRedefine/>
    <w:hidden/>
    <w:semiHidden/>
    <w:qFormat/>
    <w:uiPriority w:val="99"/>
    <w:rPr>
      <w:rFonts w:ascii="Calibri" w:hAnsi="Calibri" w:eastAsia="宋体" w:cs="Calibri"/>
      <w:kern w:val="2"/>
      <w:sz w:val="21"/>
      <w:szCs w:val="21"/>
      <w:lang w:val="en-US" w:eastAsia="zh-CN" w:bidi="ar-SA"/>
    </w:rPr>
  </w:style>
  <w:style w:type="character" w:customStyle="1" w:styleId="12">
    <w:name w:val="Balloon Text Char"/>
    <w:basedOn w:val="8"/>
    <w:link w:val="4"/>
    <w:semiHidden/>
    <w:qFormat/>
    <w:locked/>
    <w:uiPriority w:val="99"/>
    <w:rPr>
      <w:rFonts w:ascii="Calibri" w:hAnsi="Calibri" w:eastAsia="宋体" w:cs="Calibri"/>
      <w:sz w:val="18"/>
      <w:szCs w:val="18"/>
    </w:rPr>
  </w:style>
  <w:style w:type="character" w:customStyle="1" w:styleId="13">
    <w:name w:val="Footer Char"/>
    <w:basedOn w:val="8"/>
    <w:link w:val="5"/>
    <w:autoRedefine/>
    <w:qFormat/>
    <w:locked/>
    <w:uiPriority w:val="99"/>
    <w:rPr>
      <w:sz w:val="18"/>
      <w:szCs w:val="18"/>
    </w:rPr>
  </w:style>
  <w:style w:type="character" w:customStyle="1" w:styleId="14">
    <w:name w:val="Header Char"/>
    <w:basedOn w:val="8"/>
    <w:link w:val="6"/>
    <w:semiHidden/>
    <w:qFormat/>
    <w:locked/>
    <w:uiPriority w:val="99"/>
    <w:rPr>
      <w:sz w:val="18"/>
      <w:szCs w:val="18"/>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Normal_Wordconv.dotm</Template>
  <Company>MC SYSTEM</Company>
  <Pages>3</Pages>
  <Words>1474</Words>
  <Characters>1481</Characters>
  <Lines>0</Lines>
  <Paragraphs>0</Paragraphs>
  <TotalTime>7</TotalTime>
  <ScaleCrop>false</ScaleCrop>
  <LinksUpToDate>false</LinksUpToDate>
  <CharactersWithSpaces>1495</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2019-04-17T03:10:00Z</dcterms:created>
  <dc:creator>dashu</dc:creator>
  <cp:lastModifiedBy>云朵儿</cp:lastModifiedBy>
  <cp:lastPrinted>2022-01-10T07:53:00Z</cp:lastPrinted>
  <dcterms:modified xsi:type="dcterms:W3CDTF">2024-03-14T08:38:16Z</dcterms:modified>
  <dc:title>大司法办〔2019〕 号</dc:title>
  <cp:revision>23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1E9CF13BEAE54DDAB999D324F9163CAD</vt:lpwstr>
  </property>
</Properties>
</file>