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大金普人社理字〔2024〕SY184号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张彦凯</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230229******2716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黑龙江省克山县河北乡新安村12组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〔2024〕SY184</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6AC0AA4"/>
    <w:rsid w:val="284F258B"/>
    <w:rsid w:val="2E870247"/>
    <w:rsid w:val="2EBC0FAA"/>
    <w:rsid w:val="2F495AAB"/>
    <w:rsid w:val="30F32D58"/>
    <w:rsid w:val="34226D15"/>
    <w:rsid w:val="345A4CEE"/>
    <w:rsid w:val="3BE04AC9"/>
    <w:rsid w:val="44193849"/>
    <w:rsid w:val="4CBC4F59"/>
    <w:rsid w:val="50DC3D36"/>
    <w:rsid w:val="54F0197D"/>
    <w:rsid w:val="58864085"/>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2025-05-20T06:56:27Z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