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大金普人社理字〔2024〕SY185号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韩青才</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232331******2452</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黑龙江省明水县永久乡和平村三队31号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2022年12月至2023年10月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18004.00元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〔2024〕SY185</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2022年12月至2023年10月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18004.00元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2101E"/>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4EC3031"/>
    <w:rsid w:val="451A6A77"/>
    <w:rsid w:val="49CD6CE4"/>
    <w:rsid w:val="4B5E4A73"/>
    <w:rsid w:val="4CBC4F59"/>
    <w:rsid w:val="50DC3D36"/>
    <w:rsid w:val="544E70DC"/>
    <w:rsid w:val="54F0197D"/>
    <w:rsid w:val="58864085"/>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45</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2025-05-20T08:17:40Z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