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通告</w:t>
      </w:r>
    </w:p>
    <w:p>
      <w:pPr>
        <w:ind w:firstLine="420" w:firstLineChars="200"/>
        <w:rPr>
          <w:rFonts w:ascii="仿宋_GB2312" w:hAnsi="Arial" w:eastAsia="仿宋_GB2312"/>
          <w:color w:val="000000"/>
        </w:rPr>
      </w:pP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根据国家建设部《城市商品房预售管理办法》等有关规定，经核准，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大连万亿鸿基房地产开发有限公司</w:t>
      </w:r>
      <w:r>
        <w:rPr>
          <w:rFonts w:hint="eastAsia" w:ascii="仿宋_GB2312" w:eastAsia="仿宋_GB2312" w:cs="仿宋_GB2312"/>
          <w:sz w:val="30"/>
          <w:szCs w:val="30"/>
        </w:rPr>
        <w:t>在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大连市金州区石河街道春华小区钻石丽都</w:t>
      </w:r>
      <w:r>
        <w:rPr>
          <w:rFonts w:hint="eastAsia" w:ascii="仿宋_GB2312" w:eastAsia="仿宋_GB2312" w:cs="仿宋_GB2312"/>
          <w:sz w:val="30"/>
          <w:szCs w:val="30"/>
        </w:rPr>
        <w:t>项目新建房屋已办理大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普湾</w:t>
      </w: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房预许字第</w:t>
      </w:r>
      <w:r>
        <w:rPr>
          <w:rFonts w:ascii="仿宋_GB2312" w:eastAsia="仿宋_GB2312" w:cs="仿宋_GB2312"/>
          <w:sz w:val="30"/>
          <w:szCs w:val="30"/>
        </w:rPr>
        <w:t>202000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号《商品房预售许可证》。</w:t>
      </w:r>
    </w:p>
    <w:p>
      <w:pPr>
        <w:rPr>
          <w:rFonts w:ascii="仿宋_GB2312" w:hAnsi="GulimChe" w:eastAsia="仿宋_GB2312"/>
          <w:sz w:val="32"/>
          <w:szCs w:val="32"/>
        </w:rPr>
      </w:pPr>
      <w:r>
        <w:rPr>
          <w:rFonts w:hint="eastAsia" w:ascii="仿宋_GB2312" w:hAnsi="GulimChe" w:eastAsia="仿宋_GB2312" w:cs="仿宋_GB2312"/>
          <w:sz w:val="32"/>
          <w:szCs w:val="32"/>
        </w:rPr>
        <w:t>预售情况如下：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40"/>
        <w:gridCol w:w="1260"/>
        <w:gridCol w:w="360"/>
        <w:gridCol w:w="1260"/>
        <w:gridCol w:w="5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大普湾房预许字第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202000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2020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  <w:lang w:eastAsia="zh-CN"/>
              </w:rPr>
              <w:t>大连万亿鸿基房地产开发有限公司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钻石丽都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大连市金州区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石河街道春华小区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预售楼盘信息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楼号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规划用途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预售面积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（平方米）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预售套数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住宅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5747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#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住宅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、公建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11810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17557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163</w:t>
            </w:r>
          </w:p>
        </w:tc>
      </w:tr>
    </w:tbl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特此通告。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</w:p>
    <w:p>
      <w:pPr>
        <w:wordWrap w:val="0"/>
        <w:ind w:left="5359" w:leftChars="114" w:hanging="5120" w:hangingChars="16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</w:rPr>
        <w:t>大连普湾经济区规划建设局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ind w:firstLine="4800" w:firstLineChars="1500"/>
      </w:pPr>
      <w:r>
        <w:rPr>
          <w:rFonts w:ascii="仿宋_GB2312" w:eastAsia="仿宋_GB2312" w:cs="仿宋_GB2312"/>
          <w:kern w:val="0"/>
          <w:sz w:val="32"/>
          <w:szCs w:val="32"/>
        </w:rPr>
        <w:t>2020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3BE"/>
    <w:rsid w:val="00031AB8"/>
    <w:rsid w:val="00036104"/>
    <w:rsid w:val="00040C60"/>
    <w:rsid w:val="000C53BE"/>
    <w:rsid w:val="00170DE8"/>
    <w:rsid w:val="001A7FD6"/>
    <w:rsid w:val="002315F0"/>
    <w:rsid w:val="00297E9D"/>
    <w:rsid w:val="00373D3F"/>
    <w:rsid w:val="006B29CD"/>
    <w:rsid w:val="00A42C41"/>
    <w:rsid w:val="00C07A2C"/>
    <w:rsid w:val="00D34973"/>
    <w:rsid w:val="00D97E9F"/>
    <w:rsid w:val="00F14265"/>
    <w:rsid w:val="22926648"/>
    <w:rsid w:val="34FF12C9"/>
    <w:rsid w:val="4E872017"/>
    <w:rsid w:val="63C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paragraph" w:styleId="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67</Words>
  <Characters>386</Characters>
  <Lines>0</Lines>
  <Paragraphs>0</Paragraphs>
  <TotalTime>17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2020-04-23T02:24:00Z</dcterms:created>
  <dc:creator>user</dc:creator>
  <cp:lastModifiedBy>Administrator</cp:lastModifiedBy>
  <dcterms:modified xsi:type="dcterms:W3CDTF">2020-12-23T01:00:57Z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