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098</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杨延森</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eastAsia="zh-CN"/>
        </w:rPr>
        <w:t>21</w:t>
      </w:r>
      <w:r>
        <w:rPr>
          <w:rFonts w:hint="eastAsia" w:ascii="仿宋_GB2312" w:hAnsi="仿宋_GB2312" w:eastAsia="仿宋_GB2312" w:cs="仿宋_GB2312"/>
          <w:sz w:val="32"/>
          <w:szCs w:val="32"/>
          <w:lang w:val="en-US" w:eastAsia="zh-CN"/>
        </w:rPr>
        <w:t>1321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7013</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地（住）址：辽宁省</w:t>
      </w:r>
      <w:r>
        <w:rPr>
          <w:rFonts w:hint="eastAsia" w:ascii="仿宋_GB2312" w:hAnsi="仿宋_GB2312" w:eastAsia="仿宋_GB2312" w:cs="仿宋_GB2312"/>
          <w:sz w:val="32"/>
          <w:szCs w:val="32"/>
          <w:lang w:eastAsia="zh-CN"/>
        </w:rPr>
        <w:t>朝阳市龙城区联合镇下三家子村下营子东组</w:t>
      </w:r>
      <w:r>
        <w:rPr>
          <w:rFonts w:hint="eastAsia" w:ascii="仿宋_GB2312" w:hAnsi="仿宋_GB2312" w:eastAsia="仿宋_GB2312" w:cs="仿宋_GB2312"/>
          <w:sz w:val="32"/>
          <w:szCs w:val="32"/>
          <w:lang w:val="en-US" w:eastAsia="zh-CN"/>
        </w:rPr>
        <w:t>4184号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金州区友谊街道大伟图文设计工作室</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14852.5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098</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14852.5</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bookmarkStart w:id="0" w:name="_GoBack"/>
      <w:bookmarkEnd w:id="0"/>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0CB4746"/>
    <w:rsid w:val="000E3539"/>
    <w:rsid w:val="00CB4746"/>
    <w:rsid w:val="00E756CB"/>
    <w:rsid w:val="06C20CD0"/>
    <w:rsid w:val="06D74C69"/>
    <w:rsid w:val="0F8E1720"/>
    <w:rsid w:val="109A08B3"/>
    <w:rsid w:val="1353099B"/>
    <w:rsid w:val="13F46EEA"/>
    <w:rsid w:val="20231E43"/>
    <w:rsid w:val="250544CE"/>
    <w:rsid w:val="25333EFF"/>
    <w:rsid w:val="284F258B"/>
    <w:rsid w:val="2E870247"/>
    <w:rsid w:val="2EBC0FAA"/>
    <w:rsid w:val="2F495AAB"/>
    <w:rsid w:val="34226D15"/>
    <w:rsid w:val="345A4CEE"/>
    <w:rsid w:val="44193849"/>
    <w:rsid w:val="4CBC4F59"/>
    <w:rsid w:val="50DC3D36"/>
    <w:rsid w:val="54F0197D"/>
    <w:rsid w:val="65A945F9"/>
    <w:rsid w:val="68CC2B67"/>
    <w:rsid w:val="6A2D5BAD"/>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0</TotalTime>
  <ScaleCrop>false</ScaleCrop>
  <LinksUpToDate>false</LinksUpToDate>
  <CharactersWithSpaces>1216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大宝</cp:lastModifiedBy>
  <dcterms:modified xsi:type="dcterms:W3CDTF">2025-06-12T07:10:25Z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