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62A9" w14:textId="77777777" w:rsidR="009A3246" w:rsidRPr="009A3246" w:rsidRDefault="009A3246" w:rsidP="009A3246">
      <w:pPr>
        <w:pStyle w:val="a4"/>
        <w:spacing w:line="560" w:lineRule="exact"/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bookmarkStart w:id="0" w:name="_Hlk57906402"/>
      <w:r w:rsidRPr="009A3246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大连金普新区国有建设用地使用权</w:t>
      </w:r>
    </w:p>
    <w:p w14:paraId="111F04EC" w14:textId="77777777" w:rsidR="009A3246" w:rsidRDefault="009A3246" w:rsidP="009A3246">
      <w:pPr>
        <w:pStyle w:val="a4"/>
        <w:spacing w:line="560" w:lineRule="exact"/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r w:rsidRPr="009A3246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转让预告登记实施意见</w:t>
      </w:r>
      <w:r w:rsidR="00615510" w:rsidRPr="00615510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（试行）</w:t>
      </w:r>
    </w:p>
    <w:p w14:paraId="1F0A7647" w14:textId="17F79BC1" w:rsidR="00615510" w:rsidRPr="00615510" w:rsidRDefault="00615510" w:rsidP="009A3246">
      <w:pPr>
        <w:pStyle w:val="a4"/>
        <w:spacing w:line="560" w:lineRule="exact"/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r w:rsidRPr="00615510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（征求意见稿）起草说明</w:t>
      </w:r>
    </w:p>
    <w:p w14:paraId="6F683843" w14:textId="77777777" w:rsidR="00615510" w:rsidRPr="009A3246" w:rsidRDefault="00615510" w:rsidP="00615510">
      <w:pPr>
        <w:pStyle w:val="a4"/>
        <w:spacing w:line="560" w:lineRule="exact"/>
        <w:jc w:val="center"/>
        <w:rPr>
          <w:rFonts w:ascii="黑体" w:eastAsia="黑体" w:hAnsi="黑体"/>
          <w:b/>
          <w:color w:val="000000" w:themeColor="text1"/>
          <w:sz w:val="44"/>
          <w:szCs w:val="44"/>
        </w:rPr>
      </w:pPr>
    </w:p>
    <w:p w14:paraId="0C436492" w14:textId="6C592DEF" w:rsidR="00615510" w:rsidRPr="00873104" w:rsidRDefault="00615510" w:rsidP="00615510">
      <w:pPr>
        <w:spacing w:beforeLines="0" w:before="0" w:afterLines="0" w:after="0" w:line="560" w:lineRule="exact"/>
        <w:ind w:firstLineChars="200" w:firstLine="632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61551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土地市场是我国现代市场体系的重要组成部分，是资源要素市场的重要内容。</w:t>
      </w:r>
      <w:r w:rsidRPr="00622AC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为贯彻落实《</w:t>
      </w:r>
      <w:r w:rsidRPr="0061551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国务院办公厅关于完善建设用地使用权转让、出租、抵押二级市场的指导意见</w:t>
      </w:r>
      <w:r w:rsidRPr="00622AC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》</w:t>
      </w:r>
      <w:r w:rsidRP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（国办发〔2019〕34号）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和《</w:t>
      </w:r>
      <w:r w:rsidRPr="0061551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辽宁省人民政府办公厅关于完善建设用地使用权转让、出租、抵押二级市场的实施意见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》</w:t>
      </w:r>
      <w:r w:rsidRP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（辽政办发〔2021〕27号）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进一步盘活我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存量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用地，优化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用地的资源配置，规范转让预告登记行为，</w:t>
      </w:r>
      <w:r w:rsidRP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根据不动产登记相关法律法规规定，我区拟定了《大连金普新区国有建设用地使用权转让预告登记实施意见</w:t>
      </w:r>
      <w:r w:rsidR="005C7D47" w:rsidRP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（试行）</w:t>
      </w:r>
      <w:r w:rsidR="005C7D4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（征求意见稿）</w:t>
      </w:r>
      <w:r w:rsidRP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》</w:t>
      </w:r>
      <w:r w:rsidR="009A3246" w:rsidRP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（简称《实施意见》）</w:t>
      </w:r>
      <w:r w:rsidRP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，现将主要情况说明如下：</w:t>
      </w:r>
    </w:p>
    <w:p w14:paraId="1075DCD4" w14:textId="77777777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873104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一、起草背景</w:t>
      </w:r>
    </w:p>
    <w:p w14:paraId="14A575CE" w14:textId="587B4CFD" w:rsidR="00615510" w:rsidRPr="00873104" w:rsidRDefault="00615510" w:rsidP="00615510">
      <w:pPr>
        <w:spacing w:beforeLines="0" w:before="0" w:afterLines="0" w:after="0" w:line="560" w:lineRule="exact"/>
        <w:ind w:firstLineChars="200" w:firstLine="632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中华人民共和国城市房地产管理法》第三十九条规定：“以出让方式取得土地使用权的，转让房地产时，应当符合下列条件:……（二）按照出让合同约定进行投资开发，属于房屋建设工程的，完成开发投资总额的百分之二十五以上，属于成片开发土地的，形成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工业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用地或者其他建设用地条件……”。该条目的在于避免用地单位取得土地后不做任何开发转让炒卖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土地，但也在一定程度上限制了土地使用权流转，不利于土地资源的优化配置。</w:t>
      </w:r>
    </w:p>
    <w:p w14:paraId="2AA50993" w14:textId="77777777" w:rsidR="00615510" w:rsidRPr="00873104" w:rsidRDefault="00615510" w:rsidP="0061551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/>
          <w:color w:val="333333"/>
          <w:sz w:val="32"/>
          <w:szCs w:val="32"/>
        </w:rPr>
      </w:pPr>
      <w:r w:rsidRPr="00873104">
        <w:rPr>
          <w:rFonts w:ascii="仿宋_GB2312" w:eastAsia="仿宋_GB2312" w:hint="eastAsia"/>
          <w:color w:val="333333"/>
          <w:sz w:val="32"/>
          <w:szCs w:val="32"/>
        </w:rPr>
        <w:t>2</w:t>
      </w:r>
      <w:r w:rsidRPr="00873104">
        <w:rPr>
          <w:rFonts w:ascii="仿宋_GB2312" w:eastAsia="仿宋_GB2312"/>
          <w:color w:val="333333"/>
          <w:sz w:val="32"/>
          <w:szCs w:val="32"/>
        </w:rPr>
        <w:t>019年</w:t>
      </w:r>
      <w:r w:rsidRPr="00873104">
        <w:rPr>
          <w:rFonts w:ascii="仿宋_GB2312" w:eastAsia="仿宋_GB2312" w:hint="eastAsia"/>
          <w:color w:val="333333"/>
          <w:sz w:val="32"/>
          <w:szCs w:val="32"/>
        </w:rPr>
        <w:t>7月，《国务院办公厅关于完善建设用地使用权转让、出租、抵押二级市场的指导意见》（国办发〔2019〕34号）要求“</w:t>
      </w:r>
      <w:r w:rsidRPr="005D54D0">
        <w:rPr>
          <w:rFonts w:ascii="仿宋_GB2312" w:eastAsia="仿宋_GB2312" w:hint="eastAsia"/>
          <w:color w:val="333333"/>
          <w:sz w:val="32"/>
          <w:szCs w:val="32"/>
        </w:rPr>
        <w:t>建立产权明晰、市场定价、信息集聚、交易安全、监管有效的土地二级市场，市场规则健全完善，交易平台全面形成，服务和监管落实到位，市场秩序更加规范，制度性交易成本明显降低，土地资源配置效率显著提高，形成一、二级市场协调发展、规范有序、资源利用集约高效的现代土地市场体系。</w:t>
      </w:r>
      <w:r w:rsidRPr="00873104">
        <w:rPr>
          <w:rFonts w:ascii="仿宋_GB2312" w:eastAsia="仿宋_GB2312" w:hint="eastAsia"/>
          <w:color w:val="333333"/>
          <w:sz w:val="32"/>
          <w:szCs w:val="32"/>
        </w:rPr>
        <w:t xml:space="preserve">” </w:t>
      </w:r>
    </w:p>
    <w:p w14:paraId="186D068D" w14:textId="5707133E" w:rsidR="00615510" w:rsidRPr="00873104" w:rsidRDefault="00615510" w:rsidP="008C528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/>
          <w:color w:val="333333"/>
          <w:sz w:val="32"/>
          <w:szCs w:val="32"/>
        </w:rPr>
      </w:pPr>
      <w:r w:rsidRPr="00615510">
        <w:rPr>
          <w:rFonts w:ascii="仿宋_GB2312" w:eastAsia="仿宋_GB2312" w:hint="eastAsia"/>
          <w:color w:val="333333"/>
          <w:sz w:val="32"/>
          <w:szCs w:val="32"/>
        </w:rPr>
        <w:t>2021年10月</w:t>
      </w:r>
      <w:r>
        <w:rPr>
          <w:rFonts w:ascii="仿宋_GB2312" w:eastAsia="仿宋_GB2312" w:hint="eastAsia"/>
          <w:color w:val="333333"/>
          <w:sz w:val="32"/>
          <w:szCs w:val="32"/>
        </w:rPr>
        <w:t>，《</w:t>
      </w:r>
      <w:r w:rsidRPr="00615510">
        <w:rPr>
          <w:rFonts w:ascii="仿宋_GB2312" w:eastAsia="仿宋_GB2312" w:hint="eastAsia"/>
          <w:color w:val="333333"/>
          <w:sz w:val="32"/>
          <w:szCs w:val="32"/>
        </w:rPr>
        <w:t>关于完善建设用地使用权转让、出租、抵押二级市场的实施意见</w:t>
      </w:r>
      <w:r>
        <w:rPr>
          <w:rFonts w:ascii="仿宋_GB2312" w:eastAsia="仿宋_GB2312" w:hint="eastAsia"/>
          <w:color w:val="333333"/>
          <w:sz w:val="32"/>
          <w:szCs w:val="32"/>
        </w:rPr>
        <w:t>》（</w:t>
      </w:r>
      <w:r w:rsidRPr="00615510">
        <w:rPr>
          <w:rFonts w:ascii="仿宋_GB2312" w:eastAsia="仿宋_GB2312" w:hint="eastAsia"/>
          <w:color w:val="333333"/>
          <w:sz w:val="32"/>
          <w:szCs w:val="32"/>
        </w:rPr>
        <w:t>辽政办发〔2021〕27号</w:t>
      </w:r>
      <w:r>
        <w:rPr>
          <w:rFonts w:ascii="仿宋_GB2312" w:eastAsia="仿宋_GB2312" w:hint="eastAsia"/>
          <w:color w:val="333333"/>
          <w:sz w:val="32"/>
          <w:szCs w:val="32"/>
        </w:rPr>
        <w:t>），</w:t>
      </w:r>
      <w:r w:rsidR="008C5280">
        <w:rPr>
          <w:rFonts w:ascii="仿宋_GB2312" w:eastAsia="仿宋_GB2312" w:hint="eastAsia"/>
          <w:color w:val="333333"/>
          <w:sz w:val="32"/>
          <w:szCs w:val="32"/>
        </w:rPr>
        <w:t>要求</w:t>
      </w:r>
      <w:r w:rsidRPr="00873104">
        <w:rPr>
          <w:rFonts w:ascii="仿宋_GB2312" w:eastAsia="仿宋_GB2312" w:hint="eastAsia"/>
          <w:color w:val="333333"/>
          <w:sz w:val="32"/>
          <w:szCs w:val="32"/>
        </w:rPr>
        <w:t>：“</w:t>
      </w:r>
      <w:r w:rsidR="008C5280" w:rsidRPr="008C5280">
        <w:rPr>
          <w:rFonts w:ascii="仿宋_GB2312" w:eastAsia="仿宋_GB2312" w:hint="eastAsia"/>
          <w:color w:val="333333"/>
          <w:sz w:val="32"/>
          <w:szCs w:val="32"/>
        </w:rPr>
        <w:t>以出让方式取得的建设用地使用权转让，在符合法律法规规定和出让合同约定的前提下，应充分保障交易自由；原出让合同对转让条件另有约定的，从其约定。属于房屋建设工程已投资额未达到总投资额25%的，交易双方可先行签订建设用地使用权转让合同，办理预告登记，待达到转让条件后，再依法办理不动产转移登记。</w:t>
      </w:r>
      <w:r w:rsidRPr="00873104">
        <w:rPr>
          <w:rFonts w:ascii="仿宋_GB2312" w:eastAsia="仿宋_GB2312" w:hint="eastAsia"/>
          <w:color w:val="333333"/>
          <w:sz w:val="32"/>
          <w:szCs w:val="32"/>
        </w:rPr>
        <w:t>”</w:t>
      </w:r>
      <w:r w:rsidR="008C5280" w:rsidRPr="00873104">
        <w:rPr>
          <w:rFonts w:ascii="仿宋_GB2312" w:eastAsia="仿宋_GB2312"/>
          <w:color w:val="333333"/>
          <w:sz w:val="32"/>
          <w:szCs w:val="32"/>
        </w:rPr>
        <w:t xml:space="preserve"> </w:t>
      </w:r>
    </w:p>
    <w:p w14:paraId="29A100E7" w14:textId="419A32B6" w:rsidR="00615510" w:rsidRPr="00873104" w:rsidRDefault="00615510" w:rsidP="00615510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/>
          <w:color w:val="333333"/>
          <w:sz w:val="32"/>
          <w:szCs w:val="32"/>
        </w:rPr>
      </w:pPr>
      <w:r w:rsidRPr="00873104">
        <w:rPr>
          <w:rFonts w:ascii="仿宋_GB2312" w:eastAsia="仿宋_GB2312" w:hint="eastAsia"/>
          <w:color w:val="333333"/>
          <w:sz w:val="32"/>
          <w:szCs w:val="32"/>
        </w:rPr>
        <w:t>《实施细则》</w:t>
      </w:r>
      <w:r>
        <w:rPr>
          <w:rFonts w:ascii="仿宋_GB2312" w:eastAsia="仿宋_GB2312" w:hint="eastAsia"/>
          <w:color w:val="333333"/>
          <w:sz w:val="32"/>
          <w:szCs w:val="32"/>
        </w:rPr>
        <w:t>旨在解决历史遗留问题，通过</w:t>
      </w:r>
      <w:r w:rsidRPr="00873104">
        <w:rPr>
          <w:rFonts w:ascii="仿宋_GB2312" w:eastAsia="仿宋_GB2312" w:hint="eastAsia"/>
          <w:color w:val="333333"/>
          <w:sz w:val="32"/>
          <w:szCs w:val="32"/>
        </w:rPr>
        <w:t>转让预告登记制度盘活未完成开发投资总额25%的</w:t>
      </w:r>
      <w:r w:rsidR="00C104E1">
        <w:rPr>
          <w:rFonts w:ascii="仿宋_GB2312" w:eastAsia="仿宋_GB2312" w:hint="eastAsia"/>
          <w:color w:val="333333"/>
          <w:sz w:val="32"/>
          <w:szCs w:val="32"/>
        </w:rPr>
        <w:t>项目</w:t>
      </w:r>
      <w:r w:rsidRPr="00873104">
        <w:rPr>
          <w:rFonts w:ascii="仿宋_GB2312" w:eastAsia="仿宋_GB2312" w:hint="eastAsia"/>
          <w:color w:val="333333"/>
          <w:sz w:val="32"/>
          <w:szCs w:val="32"/>
        </w:rPr>
        <w:t>用地</w:t>
      </w:r>
      <w:r>
        <w:rPr>
          <w:rFonts w:ascii="仿宋_GB2312" w:eastAsia="仿宋_GB2312" w:hint="eastAsia"/>
          <w:color w:val="333333"/>
          <w:sz w:val="32"/>
          <w:szCs w:val="32"/>
        </w:rPr>
        <w:t>的开发建设</w:t>
      </w:r>
      <w:r w:rsidRPr="00873104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14:paraId="20AC61CE" w14:textId="77777777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873104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二、主要内容说明</w:t>
      </w:r>
    </w:p>
    <w:p w14:paraId="1030E50B" w14:textId="0A316CE3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73104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（一）关于适用范围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根据首批授权清单精神，结合我市实际，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将适用范围界定为“</w:t>
      </w:r>
      <w:bookmarkStart w:id="1" w:name="_Hlk58253860"/>
      <w:r w:rsidR="008C5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金普新区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（含</w:t>
      </w:r>
      <w:r w:rsidR="008C5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功能区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已经取得不动产权属证书但未完成开发投资总额</w:t>
      </w:r>
      <w:r w:rsidRPr="0087310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25%的</w:t>
      </w:r>
      <w:r w:rsidR="008C528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转让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预告登记适用本细则</w:t>
      </w:r>
      <w:bookmarkEnd w:id="1"/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”。既包括尚未动工开发的空地状态，也包括部分动工开发但投资额不足投资总额25%的在建工程状态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，但前提是已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取得不动产权属证书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3ECF9C3B" w14:textId="79E06D1C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E5A5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（二）关于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转让</w:t>
      </w:r>
      <w:r w:rsidRPr="003E5A5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核查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。</w:t>
      </w:r>
      <w:bookmarkStart w:id="2" w:name="_Hlk58362179"/>
      <w:r w:rsidRPr="00AA2C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土地使用权转让流程设计要考虑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</w:t>
      </w:r>
      <w:r w:rsidRPr="00AA2C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个背景。</w:t>
      </w:r>
      <w:r w:rsidRPr="00AA2C69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一是</w:t>
      </w:r>
      <w:r w:rsidRPr="00AA2C6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在优化营商环境的背景下，政府应当尽量减少审批事项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；</w:t>
      </w:r>
      <w:r w:rsidRPr="004B45E2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二是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土地二级市场转让一直存在因为信息不对称导致的交易安全问题，涉及大量的规划、用地、产权等政策和法律问题，需要专业判断转让的合规性；</w:t>
      </w:r>
      <w:r w:rsidRPr="004B45E2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三是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改革必须是在国家和我市现行土地制度的基本框架下，对制度、流程进行优化完善，而不是全部推倒重来，因此，</w:t>
      </w:r>
      <w:r w:rsidRPr="00232E9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土地管理政策限制、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原出让合同的约定的转让条件、</w:t>
      </w:r>
      <w:bookmarkEnd w:id="2"/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闲置用地处置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要求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司法查封、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政府优先购买权等相关问题，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应当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由自然资源主管部门根据当事人的交易申请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作出专业判断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有利于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提高不动产预告登记办理的效率。为此，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规定经自然资源主管部门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核查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后，未完成投资总额25%的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用地转让可以申请预告登记，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做好了转让核查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和预告登记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的衔接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3DA956FB" w14:textId="415E84AE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3643AF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（三）</w:t>
      </w:r>
      <w:r w:rsidRPr="00EA217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关于预告登记的期限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预告登记并不导致不动产物权发生变动，预告登记权利人对不动产享有的是债权而不是物权，只有顺利完成转移登记，预告登记权利人才享有不动产物权。但预告登记将会限制物权人处分不动产物权的行为，办理预告登记后，土地使用权人要处分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用地须取得预告登记权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利人的书面同意，在一定程度上保护了预告登记权利人的利益，对土地使用权人形成限制。为了平衡当事人之间的利益，避免办理预告登记迟迟无法</w:t>
      </w:r>
      <w:r w:rsidRPr="004B45E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转本登记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，长期限制土地使用权人的处分权，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规定当事人可以自行约定预告登记期限，同时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规定预告登记期限届满的，当事人可以单方申请注销预告登记。</w:t>
      </w:r>
    </w:p>
    <w:p w14:paraId="247AA2F8" w14:textId="5366FFC9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A217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四</w:t>
      </w:r>
      <w:r w:rsidRPr="00EA217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）关于项目缺项审批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投资额未达投资总额25%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用地需要尽快投资开发建设达到投资总额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25%后才能完成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转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本登记，按照正常审批要求，工程开发建设需要以土地使用权人的名义办理报批报建手续，但为了便于操作，保护预告登记权利人对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用地的开发投入，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允许受让人在尚未成为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用地土地使用权人的情况下，以自己名义办理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规划、用地、建设、环保、消防等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报批报建手续。</w:t>
      </w:r>
    </w:p>
    <w:p w14:paraId="0FCAB806" w14:textId="11B84941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A217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五</w:t>
      </w:r>
      <w:r w:rsidRPr="00EA217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）</w:t>
      </w:r>
      <w:r>
        <w:rPr>
          <w:rFonts w:ascii="楷体_GB2312" w:eastAsia="楷体_GB2312" w:hAnsi="宋体" w:hint="eastAsia"/>
          <w:b/>
          <w:bCs/>
          <w:sz w:val="32"/>
          <w:szCs w:val="32"/>
        </w:rPr>
        <w:t>预告登记转本登记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用地已投资额达到投资总额的25%后，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当事人可申请办理预告登记转本登记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14:paraId="6F026CEF" w14:textId="4DEC6F07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A217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六</w:t>
      </w:r>
      <w:r w:rsidRPr="00EA217A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）关于预告登记的注销。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《不动产登记暂行条例实施细则》规定的申请注销预告登记情形包括：（一）预告登记权利人放弃预告登记的；（二）债权消灭的；（三）法律、行政法规规定的其他情形。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根据上述规定以及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用地转让的实际情况对申请注销预告登记的情形进行了细化，基于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允许当事人自行设定预告登记有效期限，因此申请注销情形增加了“预告登记期限届满”，并允许当事人单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方申请注销。同时，考虑到建设用地使用权转让合同解除是债权消灭最常见的形式之一，因此将“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国有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建设用地使用权转让合同已经依法被解除的”作为申请注销的情形之一。</w:t>
      </w:r>
    </w:p>
    <w:p w14:paraId="3DACC2BE" w14:textId="77777777" w:rsidR="00615510" w:rsidRPr="00EA217A" w:rsidRDefault="00615510" w:rsidP="00615510">
      <w:pPr>
        <w:spacing w:beforeLines="0" w:before="0" w:afterLines="0" w:after="0" w:line="560" w:lineRule="exact"/>
        <w:ind w:firstLineChars="200" w:firstLine="634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EA217A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三、主要制度创新</w:t>
      </w:r>
    </w:p>
    <w:p w14:paraId="27B7D6FB" w14:textId="0C4E7B9A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C408AD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（一）充分结</w:t>
      </w:r>
      <w:r w:rsidRPr="004B45E2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合转让核查和转</w:t>
      </w:r>
      <w:r w:rsidRPr="00C408AD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让预告登记，允许未完成投资总额25%的</w:t>
      </w:r>
      <w:r w:rsidR="00C104E1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项目</w:t>
      </w:r>
      <w:r w:rsidRPr="00C408AD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用地流转。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中华人民共和国城市房地产管理法》第三十八、三十九条明确规定，投资开发额度未达到总投资额度25%的房地产禁止转让。这一规定限制了土地转让自由，一定程度上不利于土地要素的市场化配置。重点做好未完成开发投资总额25%的闲置用地的处置工作，可以采取预告登记等方式处置。</w:t>
      </w:r>
    </w:p>
    <w:p w14:paraId="52BF1A7F" w14:textId="0B35E98C" w:rsidR="00615510" w:rsidRPr="00873104" w:rsidRDefault="00615510" w:rsidP="00615510">
      <w:pPr>
        <w:spacing w:beforeLines="0" w:before="0" w:afterLines="0" w:after="0" w:line="560" w:lineRule="exact"/>
        <w:ind w:firstLineChars="200" w:firstLine="632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目前在不突破《中华人民共和国城市房地产管理法》的情况下，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结合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转让核查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和预告登记规则，针对未完成开发投资总额的25%的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用地转让的，转让合同经自然资源主管部门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核查转让条件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后，当事人可以办理预告登记。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转让核查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是属于一种土地二级市场交易服务，将其作为未达到投资总额25%的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用地转让预告登记办理的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前提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条件之一，减少了登记机构办理预告登记审查难度，提高了预告登记的可操作性。</w:t>
      </w:r>
    </w:p>
    <w:p w14:paraId="086866A3" w14:textId="0570A6D2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C408AD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（二）预告登记权利人可以凭预告登记证明办理缺项审批。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为了有效地鼓励受让人对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用地进行开发投入，尽快盘活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用地，使之建成投产，需要对受让人给予一定的保护机制。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根据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用地办理预告登记后，转让方无法单独处分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用地，保障了受让方的权利，同时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允许受让人在尚未成为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用地土地使用权人的情况下，以自己名义办理工程建设的报批报建手续，均有利于鼓励受让人对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用地开发投入。</w:t>
      </w:r>
    </w:p>
    <w:p w14:paraId="28362F4B" w14:textId="50BAFB58" w:rsidR="00615510" w:rsidRPr="00873104" w:rsidRDefault="00615510" w:rsidP="00615510">
      <w:pPr>
        <w:spacing w:beforeLines="0" w:before="0" w:afterLines="0" w:after="0" w:line="560" w:lineRule="exact"/>
        <w:ind w:firstLineChars="200" w:firstLine="634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C408AD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（三）允许当事人约定</w:t>
      </w:r>
      <w:r w:rsidR="00C104E1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项目</w:t>
      </w:r>
      <w:r w:rsidRPr="00C408AD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用地转让预告登记有效期限，尊重当事人意思自治。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预告登记的设立将会限制转让方处分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用地使用权，为了平衡当事人双方的权利义务，避免受让人滥用预告登记制度，</w:t>
      </w:r>
      <w:r w:rsidR="009A324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《实施意见》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设定9</w:t>
      </w:r>
      <w:r w:rsidR="00C104E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0</w:t>
      </w:r>
      <w:r w:rsidR="00C104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天的</w:t>
      </w:r>
      <w:r w:rsidRPr="0087310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转让预告登记的有效期。</w:t>
      </w:r>
      <w:bookmarkEnd w:id="0"/>
    </w:p>
    <w:p w14:paraId="57345968" w14:textId="77777777" w:rsidR="005666D6" w:rsidRPr="00615510" w:rsidRDefault="005666D6">
      <w:pPr>
        <w:spacing w:before="289" w:after="289"/>
        <w:ind w:firstLine="632"/>
      </w:pPr>
    </w:p>
    <w:sectPr w:rsidR="005666D6" w:rsidRPr="00615510" w:rsidSect="009C31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BE95" w14:textId="77777777" w:rsidR="005C7D47" w:rsidRDefault="005C7D47" w:rsidP="005C7D47">
      <w:pPr>
        <w:spacing w:before="120" w:after="120" w:line="240" w:lineRule="auto"/>
      </w:pPr>
      <w:r>
        <w:separator/>
      </w:r>
    </w:p>
  </w:endnote>
  <w:endnote w:type="continuationSeparator" w:id="0">
    <w:p w14:paraId="5056FB72" w14:textId="77777777" w:rsidR="005C7D47" w:rsidRDefault="005C7D47" w:rsidP="005C7D47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1BB7" w14:textId="77777777" w:rsidR="005C7D47" w:rsidRDefault="005C7D47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FAA6" w14:textId="77777777" w:rsidR="005C7D47" w:rsidRDefault="005C7D47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FC7F" w14:textId="77777777" w:rsidR="005C7D47" w:rsidRDefault="005C7D47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E317" w14:textId="77777777" w:rsidR="005C7D47" w:rsidRDefault="005C7D47" w:rsidP="005C7D47">
      <w:pPr>
        <w:spacing w:before="120" w:after="120" w:line="240" w:lineRule="auto"/>
      </w:pPr>
      <w:r>
        <w:separator/>
      </w:r>
    </w:p>
  </w:footnote>
  <w:footnote w:type="continuationSeparator" w:id="0">
    <w:p w14:paraId="10766620" w14:textId="77777777" w:rsidR="005C7D47" w:rsidRDefault="005C7D47" w:rsidP="005C7D47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E84B" w14:textId="77777777" w:rsidR="005C7D47" w:rsidRDefault="005C7D47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8D37" w14:textId="77777777" w:rsidR="005C7D47" w:rsidRDefault="005C7D47">
    <w:pPr>
      <w:pStyle w:val="a6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191D" w14:textId="77777777" w:rsidR="005C7D47" w:rsidRDefault="005C7D47">
    <w:pPr>
      <w:pStyle w:val="a6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510"/>
    <w:rsid w:val="0006633B"/>
    <w:rsid w:val="00154F3D"/>
    <w:rsid w:val="0018060C"/>
    <w:rsid w:val="001951E0"/>
    <w:rsid w:val="005666D6"/>
    <w:rsid w:val="005C05E9"/>
    <w:rsid w:val="005C7D47"/>
    <w:rsid w:val="00615510"/>
    <w:rsid w:val="008C5280"/>
    <w:rsid w:val="009A3246"/>
    <w:rsid w:val="009C310D"/>
    <w:rsid w:val="00C104E1"/>
    <w:rsid w:val="00C11060"/>
    <w:rsid w:val="00D302B7"/>
    <w:rsid w:val="00F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97A89"/>
  <w15:chartTrackingRefBased/>
  <w15:docId w15:val="{25977BC7-AD3C-4455-A6AE-D1430547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510"/>
    <w:pPr>
      <w:spacing w:beforeLines="50" w:before="50" w:afterLines="50" w:after="50" w:line="360" w:lineRule="auto"/>
      <w:jc w:val="both"/>
    </w:pPr>
    <w:rPr>
      <w:rFonts w:ascii="Times New Roman" w:eastAsia="宋体" w:hAnsi="Times New Roman" w:cs="Times New Roman (正文 CS 字体)"/>
      <w:sz w:val="24"/>
      <w:szCs w:val="24"/>
    </w:rPr>
  </w:style>
  <w:style w:type="paragraph" w:styleId="1">
    <w:name w:val="heading 1"/>
    <w:basedOn w:val="2"/>
    <w:next w:val="a"/>
    <w:link w:val="10"/>
    <w:autoRedefine/>
    <w:uiPriority w:val="9"/>
    <w:qFormat/>
    <w:rsid w:val="00154F3D"/>
    <w:pPr>
      <w:spacing w:line="700" w:lineRule="exact"/>
      <w:ind w:firstLineChars="0" w:firstLine="0"/>
      <w:jc w:val="center"/>
      <w:outlineLvl w:val="0"/>
    </w:pPr>
    <w:rPr>
      <w:rFonts w:eastAsia="方正小标宋简体"/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54F3D"/>
    <w:pPr>
      <w:keepNext/>
      <w:keepLines/>
      <w:widowControl w:val="0"/>
      <w:ind w:firstLineChars="200" w:firstLine="20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落款"/>
    <w:basedOn w:val="a"/>
    <w:next w:val="a"/>
    <w:link w:val="30"/>
    <w:autoRedefine/>
    <w:uiPriority w:val="9"/>
    <w:unhideWhenUsed/>
    <w:qFormat/>
    <w:rsid w:val="00154F3D"/>
    <w:pPr>
      <w:keepNext/>
      <w:keepLines/>
      <w:widowControl w:val="0"/>
      <w:jc w:val="right"/>
      <w:outlineLvl w:val="2"/>
    </w:pPr>
    <w:rPr>
      <w:rFonts w:asciiTheme="minorHAnsi" w:eastAsia="仿宋" w:hAnsiTheme="minorHAns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3D"/>
    <w:rPr>
      <w:rFonts w:asciiTheme="majorHAnsi" w:eastAsia="方正小标宋简体" w:hAnsiTheme="majorHAnsi" w:cstheme="majorBidi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54F3D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aliases w:val="落款 字符"/>
    <w:basedOn w:val="a0"/>
    <w:link w:val="3"/>
    <w:uiPriority w:val="9"/>
    <w:rsid w:val="00154F3D"/>
    <w:rPr>
      <w:rFonts w:eastAsia="仿宋"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615510"/>
    <w:pPr>
      <w:spacing w:beforeLines="0" w:before="100" w:beforeAutospacing="1" w:afterLines="0" w:after="100" w:afterAutospacing="1" w:line="240" w:lineRule="auto"/>
      <w:jc w:val="left"/>
    </w:pPr>
    <w:rPr>
      <w:rFonts w:ascii="宋体" w:hAnsi="宋体" w:cs="宋体"/>
      <w:kern w:val="0"/>
    </w:rPr>
  </w:style>
  <w:style w:type="paragraph" w:styleId="a4">
    <w:name w:val="annotation text"/>
    <w:basedOn w:val="a"/>
    <w:link w:val="a5"/>
    <w:uiPriority w:val="99"/>
    <w:unhideWhenUsed/>
    <w:rsid w:val="00615510"/>
    <w:pPr>
      <w:widowControl w:val="0"/>
      <w:spacing w:beforeLines="0" w:before="0" w:afterLines="0" w:after="0" w:line="240" w:lineRule="auto"/>
      <w:jc w:val="left"/>
    </w:pPr>
    <w:rPr>
      <w:rFonts w:cs="Times New Roman"/>
      <w:sz w:val="21"/>
    </w:rPr>
  </w:style>
  <w:style w:type="character" w:customStyle="1" w:styleId="a5">
    <w:name w:val="批注文字 字符"/>
    <w:basedOn w:val="a0"/>
    <w:link w:val="a4"/>
    <w:uiPriority w:val="99"/>
    <w:rsid w:val="00615510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C7D4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7D47"/>
    <w:rPr>
      <w:rFonts w:ascii="Times New Roman" w:eastAsia="宋体" w:hAnsi="Times New Roman" w:cs="Times New Roman (正文 CS 字体)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7D4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7D47"/>
    <w:rPr>
      <w:rFonts w:ascii="Times New Roman" w:eastAsia="宋体" w:hAnsi="Times New Roman" w:cs="Times New Roman (正文 CS 字体)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1436</Words>
  <Characters>1494</Characters>
  <Application>Microsoft Office Word</Application>
  <DocSecurity>0</DocSecurity>
  <Lines>83</Lines>
  <Paragraphs>26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土</dc:creator>
  <cp:keywords/>
  <dc:description/>
  <cp:lastModifiedBy>铭 刘</cp:lastModifiedBy>
  <cp:revision>2</cp:revision>
  <dcterms:created xsi:type="dcterms:W3CDTF">2023-12-19T08:43:00Z</dcterms:created>
  <dcterms:modified xsi:type="dcterms:W3CDTF">2023-12-20T07:41:00Z</dcterms:modified>
</cp:coreProperties>
</file>