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7BC9">
      <w:pPr>
        <w:rPr>
          <w:snapToGrid w:val="0"/>
          <w:color w:val="FF0000"/>
        </w:rPr>
      </w:pPr>
    </w:p>
    <w:p w14:paraId="03A7F739">
      <w:pPr>
        <w:adjustRightInd w:val="0"/>
        <w:snapToGrid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金普新区房屋建筑和市政基础设施工程</w:t>
      </w:r>
    </w:p>
    <w:p w14:paraId="4AD950D5">
      <w:pPr>
        <w:adjustRightInd w:val="0"/>
        <w:snapToGrid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招标投标活动行政监督责任清单</w:t>
      </w:r>
    </w:p>
    <w:p w14:paraId="4CFC263B">
      <w:pPr>
        <w:ind w:firstLine="632" w:firstLineChars="200"/>
        <w:jc w:val="left"/>
      </w:pPr>
    </w:p>
    <w:p w14:paraId="041F43B1">
      <w:pPr>
        <w:ind w:firstLine="632" w:firstLineChars="200"/>
        <w:jc w:val="left"/>
        <w:rPr>
          <w:rFonts w:ascii="仿宋" w:hAnsi="仿宋" w:eastAsia="仿宋" w:cs="仿宋"/>
        </w:rPr>
      </w:pPr>
      <w:r>
        <w:rPr>
          <w:rFonts w:hint="eastAsia" w:ascii="仿宋" w:hAnsi="仿宋" w:eastAsia="仿宋" w:cs="仿宋"/>
        </w:rPr>
        <w:t>为进一步规范金普新区房屋建筑和市政基础设施工程招标投标活动监管行为，督促招标人落实主体责任，压实行政监管部门监督责任，进一步明晰权责边界，依据《中华人民共和国招标投标法》《中华人民共和国招标投标法实施条例》《国务院办公厅关于创新完善体制机制推动招标投标市场规范健康发展的意见》(国办发〔2024〕21号)《国家发展改革委等部门关于印发&lt;招标人主体责任履行指引&gt;的通知》（发改法规〔2025〕1358号）以及《辽宁省招标投标领域行政监督责任清单》(辽发改法规〔2025〕884号)等法律、法规和政策制度，结合金普新区实际，制定本清单。</w:t>
      </w:r>
    </w:p>
    <w:p w14:paraId="30046751">
      <w:pPr>
        <w:ind w:firstLine="612"/>
        <w:jc w:val="left"/>
        <w:rPr>
          <w:rFonts w:asciiTheme="minorEastAsia" w:hAnsiTheme="minorEastAsia" w:eastAsiaTheme="minorEastAsia" w:cstheme="minorEastAsia"/>
        </w:rPr>
      </w:pPr>
      <w:r>
        <w:rPr>
          <w:rFonts w:hint="eastAsia" w:asciiTheme="minorEastAsia" w:hAnsiTheme="minorEastAsia" w:eastAsiaTheme="minorEastAsia" w:cstheme="minorEastAsia"/>
        </w:rPr>
        <w:t>一、适用范围</w:t>
      </w:r>
    </w:p>
    <w:p w14:paraId="3245594B">
      <w:pPr>
        <w:ind w:firstLine="632" w:firstLineChars="200"/>
        <w:rPr>
          <w:rFonts w:eastAsia="方正仿宋_GB2312"/>
        </w:rPr>
      </w:pPr>
      <w:r>
        <w:rPr>
          <w:rFonts w:hint="eastAsia" w:ascii="仿宋" w:hAnsi="仿宋" w:eastAsia="仿宋" w:cs="仿宋"/>
        </w:rPr>
        <w:t>本清单适用于金普新区行政区域内（保税区、普湾经济区除外）依法开展的房屋建筑和市政基础设施工程招标投标活动。涵盖项目主要包括民用建筑（住宅、学校、医院等）、公共建筑、工业厂房（非生产性部分）、城市道路、桥梁、供水、排水、燃气、供热、环卫、污水处理、垃圾处理、园林绿化、城市照明等依法必须招标的工程建设项目。其中，大型基础设施、公用事业等关系社会公共利益、公众安全的项目，全部或者部分使用国有资金投资、国家融资的项目，使用国际组织或者外国政府贷款、援助资金的依法必须招标项目，发展改革部门协调监管争议项目时指定监管的项目，其招标投标活动均纳入全过程监督，相关项目的界定标准、招标规模标准及监督边界，严格依据相关法律及国家配套法规规章执行</w:t>
      </w:r>
      <w:r>
        <w:rPr>
          <w:rFonts w:eastAsia="方正仿宋_GB2312"/>
        </w:rPr>
        <w:t>。</w:t>
      </w:r>
    </w:p>
    <w:p w14:paraId="1B89AD40">
      <w:pPr>
        <w:ind w:firstLine="612"/>
        <w:jc w:val="left"/>
        <w:rPr>
          <w:rFonts w:asciiTheme="minorEastAsia" w:hAnsiTheme="minorEastAsia" w:eastAsiaTheme="minorEastAsia" w:cstheme="minorEastAsia"/>
        </w:rPr>
      </w:pPr>
      <w:r>
        <w:rPr>
          <w:rFonts w:hint="eastAsia" w:asciiTheme="minorEastAsia" w:hAnsiTheme="minorEastAsia" w:eastAsiaTheme="minorEastAsia" w:cstheme="minorEastAsia"/>
        </w:rPr>
        <w:t>二、监督职责</w:t>
      </w:r>
    </w:p>
    <w:p w14:paraId="1942F880">
      <w:pPr>
        <w:ind w:firstLine="632" w:firstLineChars="200"/>
        <w:jc w:val="left"/>
        <w:rPr>
          <w:rFonts w:ascii="仿宋" w:hAnsi="仿宋" w:eastAsia="仿宋" w:cs="仿宋"/>
        </w:rPr>
      </w:pPr>
      <w:r>
        <w:rPr>
          <w:rFonts w:hint="eastAsia" w:ascii="仿宋" w:hAnsi="仿宋" w:eastAsia="仿宋" w:cs="仿宋"/>
        </w:rPr>
        <w:t>金普新区住房和城乡建设局（以下称“行政监督部门”）依据法定职责负责对本行政区域内依法必须招标的房屋建筑和市政基础设施工程招标投标活动开展全过程监督，具体包括审查招标范围、方式和组织形式是否按照项目审批(核准)部门审批(核准)确定的招标范围、招标方式、招标组织形式执行；监督资格预审、公告发布、开标评标、中标公示及合同签订等环节合规性；受理投诉举报，依法查处虚假招标、串通投标、弄虚作假等招标投标活动中的违法行为；开展“双随机、一公开”检查和信用监管。</w:t>
      </w:r>
    </w:p>
    <w:p w14:paraId="343B22F4">
      <w:pPr>
        <w:ind w:firstLine="612"/>
        <w:jc w:val="left"/>
        <w:rPr>
          <w:rFonts w:asciiTheme="minorEastAsia" w:hAnsiTheme="minorEastAsia" w:eastAsiaTheme="minorEastAsia" w:cstheme="minorEastAsia"/>
        </w:rPr>
      </w:pPr>
      <w:r>
        <w:rPr>
          <w:rFonts w:hint="eastAsia" w:asciiTheme="minorEastAsia" w:hAnsiTheme="minorEastAsia" w:eastAsiaTheme="minorEastAsia" w:cstheme="minorEastAsia"/>
        </w:rPr>
        <w:t>三、监督对象、监督内容及监督方式</w:t>
      </w:r>
    </w:p>
    <w:p w14:paraId="2C74F9BB">
      <w:pPr>
        <w:ind w:firstLine="612"/>
        <w:jc w:val="left"/>
        <w:rPr>
          <w:rFonts w:ascii="仿宋" w:hAnsi="仿宋" w:eastAsia="仿宋" w:cs="仿宋"/>
        </w:rPr>
      </w:pPr>
      <w:r>
        <w:rPr>
          <w:rFonts w:hint="eastAsia" w:ascii="仿宋" w:hAnsi="仿宋" w:eastAsia="仿宋" w:cs="仿宋"/>
        </w:rPr>
        <w:t>（一）监督对象。项目招标投标活动的监督对象覆盖招标投标全链条、各环节的参与主体，主要包括招标人、招标代理机构、投标人、评标委员会及其成员、公共资源交易服务机构及其工作人员、电子招标投标系统(平台)运营机构，以及招标投标活动中的相关利害关系人。</w:t>
      </w:r>
    </w:p>
    <w:p w14:paraId="18758FD0">
      <w:pPr>
        <w:ind w:firstLine="612"/>
        <w:jc w:val="left"/>
        <w:rPr>
          <w:rFonts w:ascii="仿宋" w:hAnsi="仿宋" w:eastAsia="仿宋" w:cs="仿宋"/>
        </w:rPr>
      </w:pPr>
      <w:r>
        <w:rPr>
          <w:rFonts w:hint="eastAsia" w:ascii="仿宋" w:hAnsi="仿宋" w:eastAsia="仿宋" w:cs="仿宋"/>
        </w:rPr>
        <w:t>（二）监督内容、监督方式</w:t>
      </w:r>
    </w:p>
    <w:p w14:paraId="39FE04C5">
      <w:pPr>
        <w:ind w:firstLine="612"/>
        <w:jc w:val="left"/>
        <w:rPr>
          <w:rFonts w:ascii="仿宋" w:hAnsi="仿宋" w:eastAsia="仿宋" w:cs="仿宋"/>
        </w:rPr>
      </w:pPr>
      <w:r>
        <w:rPr>
          <w:rFonts w:hint="eastAsia" w:ascii="仿宋" w:hAnsi="仿宋" w:eastAsia="仿宋" w:cs="仿宋"/>
        </w:rPr>
        <w:t>1.事前监督</w:t>
      </w:r>
    </w:p>
    <w:p w14:paraId="69603F2A">
      <w:pPr>
        <w:ind w:firstLine="612"/>
        <w:jc w:val="left"/>
        <w:rPr>
          <w:rFonts w:ascii="仿宋" w:hAnsi="仿宋" w:eastAsia="仿宋" w:cs="仿宋"/>
        </w:rPr>
      </w:pPr>
      <w:r>
        <w:rPr>
          <w:rFonts w:hint="eastAsia" w:ascii="仿宋" w:hAnsi="仿宋" w:eastAsia="仿宋" w:cs="仿宋"/>
        </w:rPr>
        <w:t>（1）招标人内控机制：招标人是否按照《中华人民共和国招标投标法》《中华人民共和国招标投标法实施条例》以及《国家发展改革委等部门关于印发&lt;招标人主体责任履行指引&gt;的通知》相关要求，结合本单位实际，依法制定具体实施细则或内控机制。监督方式：实质审查；</w:t>
      </w:r>
    </w:p>
    <w:p w14:paraId="010B408C">
      <w:pPr>
        <w:ind w:firstLine="612"/>
        <w:jc w:val="left"/>
        <w:rPr>
          <w:rFonts w:ascii="仿宋" w:hAnsi="仿宋" w:eastAsia="仿宋" w:cs="仿宋"/>
        </w:rPr>
      </w:pPr>
      <w:r>
        <w:rPr>
          <w:rFonts w:hint="eastAsia" w:ascii="仿宋" w:hAnsi="仿宋" w:eastAsia="仿宋" w:cs="仿宋"/>
        </w:rPr>
        <w:t>（2）招标计划：招标人是否结合项目特点和需求，以月度、季度或年度为周期发布招标计划。监督方式：形式审查；</w:t>
      </w:r>
    </w:p>
    <w:p w14:paraId="0EF24FEC">
      <w:pPr>
        <w:ind w:firstLine="612"/>
        <w:jc w:val="left"/>
        <w:rPr>
          <w:rFonts w:ascii="仿宋" w:hAnsi="仿宋" w:eastAsia="仿宋" w:cs="仿宋"/>
        </w:rPr>
      </w:pPr>
      <w:r>
        <w:rPr>
          <w:rFonts w:hint="eastAsia" w:ascii="仿宋" w:hAnsi="仿宋" w:eastAsia="仿宋" w:cs="仿宋"/>
        </w:rPr>
        <w:t>（3）招标备案：招标人是否发布招标项目计划，招标范围、方式、组织形式是否依法核准,申请容缺备案的，容缺申请及风险承诺是否履行。监督方式：实质审查；</w:t>
      </w:r>
    </w:p>
    <w:p w14:paraId="3DF6B6CD">
      <w:pPr>
        <w:ind w:firstLine="612"/>
        <w:jc w:val="left"/>
        <w:rPr>
          <w:rFonts w:ascii="仿宋" w:hAnsi="仿宋" w:eastAsia="仿宋" w:cs="仿宋"/>
        </w:rPr>
      </w:pPr>
      <w:r>
        <w:rPr>
          <w:rFonts w:hint="eastAsia" w:ascii="仿宋" w:hAnsi="仿宋" w:eastAsia="仿宋" w:cs="仿宋"/>
        </w:rPr>
        <w:t>（4）资格预审、招标公告、招标文件：招标人是否履行主体责任，依法组织编制资格预审、招标公告、招标文件，是否按内控机制设定对资格预审、招标公告、招标文件组织实质性审查，包括但不限于合法合规性审查暨公平竞争审查。一是资格预审、招标公告、招标文件发布前，招标人要向行政监督部门提交《</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项目招标公告及招标文件审查报告》，并附公平竞争审查表。报告中，招标人须就资格预审、招标公告、招标文件的审查做过程性写实材料，并附相关佐证材料，包括但不限于审查过程中是否发现问题，如何纠正，审查小组是否包含相关领导和技术人员，是否包含审查人员名单列表和审查人员签名等。二是利用“辽宁省房屋建筑和市政工程监管系统”加强动态监督。行政监督部门每日登录并记录招标项目备案信息、招标公告发布信息、风险预警信息、中标结果信息等，督促各招标人积极履行主体责任。三是依法受理并处理投诉。监督方式：形式审查。</w:t>
      </w:r>
    </w:p>
    <w:p w14:paraId="394AD262">
      <w:pPr>
        <w:ind w:firstLine="612"/>
        <w:jc w:val="left"/>
        <w:rPr>
          <w:rFonts w:ascii="仿宋" w:hAnsi="仿宋" w:eastAsia="仿宋" w:cs="仿宋"/>
        </w:rPr>
      </w:pPr>
      <w:r>
        <w:rPr>
          <w:rFonts w:hint="eastAsia" w:ascii="仿宋" w:hAnsi="仿宋" w:eastAsia="仿宋" w:cs="仿宋"/>
        </w:rPr>
        <w:t>2.事中监督</w:t>
      </w:r>
    </w:p>
    <w:p w14:paraId="665C985C">
      <w:pPr>
        <w:ind w:firstLine="612"/>
        <w:jc w:val="left"/>
        <w:rPr>
          <w:rFonts w:ascii="仿宋" w:hAnsi="仿宋" w:eastAsia="仿宋" w:cs="仿宋"/>
        </w:rPr>
      </w:pPr>
      <w:r>
        <w:rPr>
          <w:rFonts w:hint="eastAsia" w:ascii="仿宋" w:hAnsi="仿宋" w:eastAsia="仿宋" w:cs="仿宋"/>
        </w:rPr>
        <w:t>（5）资格预审、开标、评标程序是否符合法定要求。监督方式：现场监督或远程监督。受理投诉，依法处理；</w:t>
      </w:r>
    </w:p>
    <w:p w14:paraId="0FFF1C5E">
      <w:pPr>
        <w:ind w:firstLine="612"/>
        <w:jc w:val="left"/>
        <w:rPr>
          <w:rFonts w:ascii="仿宋" w:hAnsi="仿宋" w:eastAsia="仿宋" w:cs="仿宋"/>
        </w:rPr>
      </w:pPr>
      <w:r>
        <w:rPr>
          <w:rFonts w:hint="eastAsia" w:ascii="仿宋" w:hAnsi="仿宋" w:eastAsia="仿宋" w:cs="仿宋"/>
        </w:rPr>
        <w:t>（6）评标委员会是否独立公正履职。监督方式：现场监督或远程监督；</w:t>
      </w:r>
    </w:p>
    <w:p w14:paraId="1E32EFC6">
      <w:pPr>
        <w:ind w:firstLine="612"/>
        <w:jc w:val="left"/>
        <w:rPr>
          <w:rFonts w:ascii="仿宋" w:hAnsi="仿宋" w:eastAsia="仿宋" w:cs="仿宋"/>
        </w:rPr>
      </w:pPr>
      <w:r>
        <w:rPr>
          <w:rFonts w:hint="eastAsia" w:ascii="仿宋" w:hAnsi="仿宋" w:eastAsia="仿宋" w:cs="仿宋"/>
        </w:rPr>
        <w:t>3.事后监督</w:t>
      </w:r>
    </w:p>
    <w:p w14:paraId="10DCF87C">
      <w:pPr>
        <w:ind w:firstLine="612"/>
        <w:jc w:val="left"/>
        <w:rPr>
          <w:rFonts w:ascii="仿宋" w:hAnsi="仿宋" w:eastAsia="仿宋" w:cs="仿宋"/>
        </w:rPr>
      </w:pPr>
      <w:r>
        <w:rPr>
          <w:rFonts w:hint="eastAsia" w:ascii="仿宋" w:hAnsi="仿宋" w:eastAsia="仿宋" w:cs="仿宋"/>
        </w:rPr>
        <w:t>（7）招标人是否履行定标环节主体责任。一是在中标候选人公示前，招标人是否对评标报告认真复核或公平性审查,评标报告是否真实完整；二是招标人是否对中标候选人组织核验；三</w:t>
      </w:r>
      <w:r>
        <w:rPr>
          <w:rFonts w:hint="eastAsia" w:ascii="仿宋" w:hAnsi="仿宋" w:eastAsia="仿宋" w:cs="仿宋"/>
          <w:lang w:eastAsia="zh-CN"/>
        </w:rPr>
        <w:t>是</w:t>
      </w:r>
      <w:r>
        <w:rPr>
          <w:rFonts w:hint="eastAsia" w:ascii="仿宋" w:hAnsi="仿宋" w:eastAsia="仿宋" w:cs="仿宋"/>
        </w:rPr>
        <w:t>招标人是否对招标投标过程的公平性进行全面自查；四是定标结果是否通过“三重一大”等集体决策、民主决策和科学决策方式产生；五是对定标活动是否实行全过程记录和可追溯管理。监督方式：形式审查，招标人向行政监督部门提交《</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项目定标报告》，并附过程性写实材料；</w:t>
      </w:r>
    </w:p>
    <w:p w14:paraId="3138D3E2">
      <w:pPr>
        <w:ind w:firstLine="612"/>
        <w:jc w:val="left"/>
        <w:rPr>
          <w:rFonts w:ascii="仿宋" w:hAnsi="仿宋" w:eastAsia="仿宋" w:cs="仿宋"/>
        </w:rPr>
      </w:pPr>
      <w:r>
        <w:rPr>
          <w:rFonts w:hint="eastAsia" w:ascii="仿宋" w:hAnsi="仿宋" w:eastAsia="仿宋" w:cs="仿宋"/>
        </w:rPr>
        <w:t>（8）中标候选人公示、中标结果公示是否规范，中标程序是否符合法定要求。监督方式：形式审查，依法受理并处理投诉；</w:t>
      </w:r>
    </w:p>
    <w:p w14:paraId="329172C3">
      <w:pPr>
        <w:ind w:firstLine="612"/>
        <w:jc w:val="left"/>
        <w:rPr>
          <w:rFonts w:ascii="仿宋" w:hAnsi="仿宋" w:eastAsia="仿宋" w:cs="仿宋"/>
        </w:rPr>
      </w:pPr>
      <w:r>
        <w:rPr>
          <w:rFonts w:hint="eastAsia" w:ascii="仿宋" w:hAnsi="仿宋" w:eastAsia="仿宋" w:cs="仿宋"/>
        </w:rPr>
        <w:t>（9）招标人</w:t>
      </w:r>
      <w:r>
        <w:rPr>
          <w:rFonts w:hint="eastAsia" w:ascii="仿宋" w:hAnsi="仿宋" w:eastAsia="仿宋" w:cs="仿宋"/>
          <w:lang w:eastAsia="zh-CN"/>
        </w:rPr>
        <w:t>与中标人</w:t>
      </w:r>
      <w:r>
        <w:rPr>
          <w:rFonts w:hint="eastAsia" w:ascii="仿宋" w:hAnsi="仿宋" w:eastAsia="仿宋" w:cs="仿宋"/>
        </w:rPr>
        <w:t>网上电子合同签订是否与招标结果一致及是否履行信息公示。监督方式：形式审查。</w:t>
      </w:r>
    </w:p>
    <w:p w14:paraId="51CB0AFB">
      <w:pPr>
        <w:ind w:firstLine="612"/>
        <w:jc w:val="left"/>
        <w:rPr>
          <w:rFonts w:ascii="仿宋" w:hAnsi="仿宋" w:eastAsia="仿宋" w:cs="仿宋"/>
        </w:rPr>
      </w:pPr>
      <w:r>
        <w:rPr>
          <w:rFonts w:hint="eastAsia" w:ascii="仿宋" w:hAnsi="仿宋" w:eastAsia="仿宋" w:cs="仿宋"/>
        </w:rPr>
        <w:t>4.日常监督</w:t>
      </w:r>
    </w:p>
    <w:p w14:paraId="23DB1B6E">
      <w:pPr>
        <w:ind w:firstLine="612"/>
        <w:jc w:val="left"/>
        <w:rPr>
          <w:rFonts w:ascii="仿宋" w:hAnsi="仿宋" w:eastAsia="仿宋" w:cs="仿宋"/>
        </w:rPr>
      </w:pPr>
      <w:r>
        <w:rPr>
          <w:rFonts w:hint="eastAsia" w:ascii="仿宋" w:hAnsi="仿宋" w:eastAsia="仿宋" w:cs="仿宋"/>
        </w:rPr>
        <w:t>（10）对招标代理机构开展“双随机一公开”检查，制定年度计划并实施；</w:t>
      </w:r>
    </w:p>
    <w:p w14:paraId="3FDBEA74">
      <w:pPr>
        <w:ind w:firstLine="612"/>
        <w:jc w:val="left"/>
        <w:rPr>
          <w:rFonts w:ascii="仿宋" w:hAnsi="仿宋" w:eastAsia="仿宋" w:cs="仿宋"/>
        </w:rPr>
      </w:pPr>
      <w:r>
        <w:rPr>
          <w:rFonts w:hint="eastAsia" w:ascii="仿宋" w:hAnsi="仿宋" w:eastAsia="仿宋" w:cs="仿宋"/>
        </w:rPr>
        <w:t>（11）对招标人、代理机构开展业务培训；</w:t>
      </w:r>
    </w:p>
    <w:p w14:paraId="0305D972">
      <w:pPr>
        <w:ind w:firstLine="612"/>
        <w:jc w:val="left"/>
        <w:rPr>
          <w:rFonts w:ascii="仿宋" w:hAnsi="仿宋" w:eastAsia="仿宋" w:cs="仿宋"/>
        </w:rPr>
      </w:pPr>
      <w:r>
        <w:rPr>
          <w:rFonts w:hint="eastAsia" w:ascii="仿宋" w:hAnsi="仿宋" w:eastAsia="仿宋" w:cs="仿宋"/>
        </w:rPr>
        <w:t>（12）按比例对招标人招标档案开展“案卷评查”，全链条还原招标过程，发现问题并加以规范解决；</w:t>
      </w:r>
    </w:p>
    <w:p w14:paraId="05726161">
      <w:pPr>
        <w:ind w:firstLine="612"/>
        <w:jc w:val="left"/>
        <w:rPr>
          <w:rFonts w:ascii="仿宋" w:hAnsi="仿宋" w:eastAsia="仿宋" w:cs="仿宋"/>
        </w:rPr>
      </w:pPr>
      <w:r>
        <w:rPr>
          <w:rFonts w:hint="eastAsia" w:ascii="仿宋" w:hAnsi="仿宋" w:eastAsia="仿宋" w:cs="仿宋"/>
        </w:rPr>
        <w:t>（13）积极</w:t>
      </w:r>
      <w:r>
        <w:rPr>
          <w:rFonts w:hint="eastAsia" w:ascii="仿宋" w:hAnsi="仿宋" w:eastAsia="仿宋" w:cs="仿宋"/>
          <w:lang w:eastAsia="zh-CN"/>
        </w:rPr>
        <w:t>协同各行业主管部门和相关行政监督部门，</w:t>
      </w:r>
      <w:r>
        <w:rPr>
          <w:rFonts w:hint="eastAsia" w:ascii="仿宋" w:hAnsi="仿宋" w:eastAsia="仿宋" w:cs="仿宋"/>
        </w:rPr>
        <w:t>主动处理虚假招标、串通投标、弄虚作假骗取中标等违法违规行为以及其他相关事项。</w:t>
      </w:r>
    </w:p>
    <w:p w14:paraId="54FCF12F">
      <w:pPr>
        <w:ind w:firstLine="612"/>
        <w:jc w:val="left"/>
        <w:rPr>
          <w:rFonts w:ascii="仿宋" w:hAnsi="仿宋" w:eastAsia="仿宋" w:cs="仿宋"/>
        </w:rPr>
      </w:pPr>
      <w:r>
        <w:rPr>
          <w:rFonts w:hint="eastAsia" w:ascii="仿宋" w:hAnsi="仿宋" w:eastAsia="仿宋" w:cs="仿宋"/>
        </w:rPr>
        <w:t>（14）按照“金普新区房屋建筑和市政基础设施招标投标活动负面清单”（附件）要求，进一步规范招标投标各方行为。</w:t>
      </w:r>
    </w:p>
    <w:p w14:paraId="68D8F5C1">
      <w:pPr>
        <w:ind w:firstLine="612"/>
        <w:jc w:val="left"/>
        <w:rPr>
          <w:rFonts w:asciiTheme="minorEastAsia" w:hAnsiTheme="minorEastAsia" w:eastAsiaTheme="minorEastAsia" w:cstheme="minorEastAsia"/>
        </w:rPr>
      </w:pPr>
      <w:r>
        <w:rPr>
          <w:rFonts w:hint="eastAsia" w:asciiTheme="minorEastAsia" w:hAnsiTheme="minorEastAsia" w:eastAsiaTheme="minorEastAsia" w:cstheme="minorEastAsia"/>
        </w:rPr>
        <w:t>四、协同机制</w:t>
      </w:r>
    </w:p>
    <w:p w14:paraId="1E2DB603">
      <w:pPr>
        <w:ind w:firstLine="612"/>
        <w:jc w:val="left"/>
        <w:rPr>
          <w:rFonts w:ascii="仿宋" w:hAnsi="仿宋" w:eastAsia="仿宋" w:cs="仿宋"/>
        </w:rPr>
      </w:pPr>
      <w:r>
        <w:rPr>
          <w:rFonts w:hint="eastAsia" w:ascii="仿宋" w:hAnsi="仿宋" w:eastAsia="仿宋" w:cs="仿宋"/>
        </w:rPr>
        <w:t>（一）对项目监督、日常检查以及处理投诉举报过程中发现的违法行为线索，移送金普新区城市管理综合行政执法局。</w:t>
      </w:r>
    </w:p>
    <w:p w14:paraId="1A03DC45">
      <w:pPr>
        <w:ind w:firstLine="612"/>
        <w:jc w:val="left"/>
        <w:rPr>
          <w:rFonts w:ascii="仿宋" w:hAnsi="仿宋" w:eastAsia="仿宋" w:cs="仿宋"/>
        </w:rPr>
      </w:pPr>
      <w:r>
        <w:rPr>
          <w:rFonts w:hint="eastAsia" w:ascii="仿宋" w:hAnsi="仿宋" w:eastAsia="仿宋" w:cs="仿宋"/>
        </w:rPr>
        <w:t>（二）在监督管理过程中发现涉嫌犯罪的，将问题线索移送公安机关；发现党员干部插手干预工程项目招标投标活动的，以及公职人员其他有关违纪或职务违法行为的，将问题线索移送纪检监察机关。</w:t>
      </w:r>
    </w:p>
    <w:p w14:paraId="2D73F177">
      <w:pPr>
        <w:ind w:firstLine="612"/>
        <w:jc w:val="left"/>
        <w:rPr>
          <w:rFonts w:ascii="仿宋" w:hAnsi="仿宋" w:eastAsia="仿宋" w:cs="仿宋"/>
        </w:rPr>
      </w:pPr>
      <w:r>
        <w:rPr>
          <w:rFonts w:hint="eastAsia" w:ascii="仿宋" w:hAnsi="仿宋" w:eastAsia="仿宋" w:cs="仿宋"/>
        </w:rPr>
        <w:t>（三）推动信用信息在招标投标活动中的合法规范应用，对违法失信主体依法依规实施失信惩戒。</w:t>
      </w:r>
    </w:p>
    <w:p w14:paraId="091D1D85">
      <w:pPr>
        <w:ind w:firstLine="612"/>
        <w:jc w:val="left"/>
        <w:rPr>
          <w:rFonts w:asciiTheme="minorEastAsia" w:hAnsiTheme="minorEastAsia" w:eastAsiaTheme="minorEastAsia" w:cstheme="minorEastAsia"/>
        </w:rPr>
      </w:pPr>
      <w:r>
        <w:rPr>
          <w:rFonts w:hint="eastAsia" w:asciiTheme="minorEastAsia" w:hAnsiTheme="minorEastAsia" w:eastAsiaTheme="minorEastAsia" w:cstheme="minorEastAsia"/>
        </w:rPr>
        <w:t>五、其他事项</w:t>
      </w:r>
    </w:p>
    <w:p w14:paraId="0D01BE3F">
      <w:pPr>
        <w:ind w:firstLine="612"/>
        <w:jc w:val="left"/>
        <w:rPr>
          <w:rFonts w:ascii="仿宋" w:hAnsi="仿宋" w:eastAsia="仿宋" w:cs="仿宋"/>
        </w:rPr>
      </w:pPr>
      <w:r>
        <w:rPr>
          <w:rFonts w:hint="eastAsia" w:ascii="仿宋" w:hAnsi="仿宋" w:eastAsia="仿宋" w:cs="仿宋"/>
        </w:rPr>
        <w:t>（一）每年评估制度执行情况，结合国家相关法律法规和政策要求，动态优化调整清单内容。</w:t>
      </w:r>
    </w:p>
    <w:p w14:paraId="4BE42BDD">
      <w:pPr>
        <w:ind w:firstLine="612"/>
        <w:jc w:val="left"/>
        <w:rPr>
          <w:rFonts w:ascii="仿宋" w:hAnsi="仿宋" w:eastAsia="仿宋" w:cs="仿宋"/>
        </w:rPr>
      </w:pPr>
      <w:r>
        <w:rPr>
          <w:rFonts w:hint="eastAsia" w:ascii="仿宋" w:hAnsi="仿宋" w:eastAsia="仿宋" w:cs="仿宋"/>
        </w:rPr>
        <w:t>（二）本清单与国家法律、法规、规章及政策规定不一致的，以国家规定为准。新区管委会另有规定的，从其规定。</w:t>
      </w:r>
    </w:p>
    <w:p w14:paraId="26551D6B">
      <w:pPr>
        <w:ind w:firstLine="612"/>
        <w:jc w:val="left"/>
        <w:rPr>
          <w:rFonts w:ascii="仿宋" w:hAnsi="仿宋" w:eastAsia="仿宋" w:cs="仿宋"/>
        </w:rPr>
      </w:pPr>
      <w:r>
        <w:rPr>
          <w:rFonts w:hint="eastAsia" w:ascii="仿宋" w:hAnsi="仿宋" w:eastAsia="仿宋" w:cs="仿宋"/>
        </w:rPr>
        <w:t>（三）本清单由金普新区住房和城乡建设局负责解释。</w:t>
      </w:r>
    </w:p>
    <w:p w14:paraId="266819EE">
      <w:pPr>
        <w:ind w:firstLine="612"/>
        <w:jc w:val="left"/>
        <w:rPr>
          <w:rFonts w:eastAsia="方正仿宋_GB2312"/>
        </w:rPr>
      </w:pPr>
      <w:r>
        <w:rPr>
          <w:rFonts w:hint="eastAsia" w:ascii="仿宋" w:hAnsi="仿宋" w:eastAsia="仿宋" w:cs="仿宋"/>
        </w:rPr>
        <w:t>（四）本清单自2026年1月1日起执行</w:t>
      </w:r>
      <w:r>
        <w:rPr>
          <w:rFonts w:hint="eastAsia" w:ascii="仿宋" w:hAnsi="仿宋" w:eastAsia="仿宋" w:cs="仿宋"/>
          <w:lang w:eastAsia="zh-CN"/>
        </w:rPr>
        <w:t>，有效期三年</w:t>
      </w:r>
      <w:r>
        <w:rPr>
          <w:rFonts w:hint="eastAsia" w:ascii="仿宋" w:hAnsi="仿宋" w:eastAsia="仿宋" w:cs="仿宋"/>
        </w:rPr>
        <w:t>。</w:t>
      </w:r>
    </w:p>
    <w:p w14:paraId="3D2FB15E">
      <w:pPr>
        <w:ind w:firstLine="612"/>
        <w:jc w:val="left"/>
        <w:rPr>
          <w:rFonts w:eastAsia="方正仿宋_GB2312"/>
        </w:rPr>
      </w:pPr>
    </w:p>
    <w:p w14:paraId="6063D710">
      <w:pPr>
        <w:ind w:firstLine="612"/>
        <w:jc w:val="left"/>
        <w:rPr>
          <w:rFonts w:eastAsia="方正仿宋_GB2312"/>
        </w:rPr>
      </w:pPr>
    </w:p>
    <w:p w14:paraId="1059670C">
      <w:pPr>
        <w:ind w:firstLine="612"/>
        <w:jc w:val="right"/>
        <w:rPr>
          <w:rFonts w:ascii="仿宋" w:hAnsi="仿宋" w:eastAsia="仿宋" w:cs="仿宋"/>
        </w:rPr>
      </w:pPr>
      <w:r>
        <w:rPr>
          <w:rFonts w:eastAsia="方正仿宋_GB2312"/>
        </w:rPr>
        <w:t xml:space="preserve">                  </w:t>
      </w:r>
      <w:r>
        <w:rPr>
          <w:rFonts w:hint="eastAsia" w:ascii="仿宋" w:hAnsi="仿宋" w:eastAsia="仿宋" w:cs="仿宋"/>
        </w:rPr>
        <w:t xml:space="preserve">  大连金普新区住房和城乡建设局</w:t>
      </w:r>
    </w:p>
    <w:p w14:paraId="64A0FA0B">
      <w:pPr>
        <w:ind w:firstLine="612"/>
        <w:jc w:val="left"/>
        <w:rPr>
          <w:rFonts w:hint="eastAsia" w:ascii="仿宋" w:hAnsi="仿宋" w:eastAsia="仿宋" w:cs="仿宋"/>
        </w:rPr>
      </w:pPr>
      <w:r>
        <w:rPr>
          <w:rFonts w:hint="eastAsia" w:ascii="仿宋" w:hAnsi="仿宋" w:eastAsia="仿宋" w:cs="仿宋"/>
        </w:rPr>
        <w:t xml:space="preserve">                              2025年12月</w:t>
      </w:r>
      <w:r>
        <w:rPr>
          <w:rFonts w:hint="eastAsia" w:ascii="仿宋" w:hAnsi="仿宋" w:eastAsia="仿宋" w:cs="仿宋"/>
          <w:lang w:val="en-US" w:eastAsia="zh-CN"/>
        </w:rPr>
        <w:t>23</w:t>
      </w:r>
      <w:r>
        <w:rPr>
          <w:rFonts w:hint="eastAsia" w:ascii="仿宋" w:hAnsi="仿宋" w:eastAsia="仿宋" w:cs="仿宋"/>
        </w:rPr>
        <w:t>日</w:t>
      </w:r>
    </w:p>
    <w:p w14:paraId="79DF6E36">
      <w:pPr>
        <w:ind w:firstLine="612"/>
        <w:jc w:val="left"/>
        <w:rPr>
          <w:rFonts w:hint="eastAsia" w:ascii="仿宋" w:hAnsi="仿宋" w:eastAsia="仿宋" w:cs="仿宋"/>
        </w:rPr>
      </w:pPr>
      <w:bookmarkStart w:id="0" w:name="_GoBack"/>
      <w:bookmarkEnd w:id="0"/>
    </w:p>
    <w:sectPr>
      <w:footerReference r:id="rId5" w:type="first"/>
      <w:footerReference r:id="rId3" w:type="default"/>
      <w:footerReference r:id="rId4" w:type="even"/>
      <w:pgSz w:w="11906" w:h="16838"/>
      <w:pgMar w:top="1985" w:right="1531" w:bottom="1418" w:left="1531" w:header="0" w:footer="1418" w:gutter="0"/>
      <w:cols w:space="720" w:num="1"/>
      <w:docGrid w:type="linesAndChars" w:linePitch="62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38B8F0-1F83-4E5F-A8B8-9CF33CBF38D4}"/>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D5DE3A61-41A6-47CF-A4B8-1196A623615B}"/>
  </w:font>
  <w:font w:name="仿宋">
    <w:panose1 w:val="02010609060101010101"/>
    <w:charset w:val="86"/>
    <w:family w:val="modern"/>
    <w:pitch w:val="default"/>
    <w:sig w:usb0="800002BF" w:usb1="38CF7CFA" w:usb2="00000016" w:usb3="00000000" w:csb0="00040001" w:csb1="00000000"/>
    <w:embedRegular r:id="rId3" w:fontKey="{EA5E1169-159B-4531-A73A-1B2B5902C6BD}"/>
  </w:font>
  <w:font w:name="方正仿宋_GB2312">
    <w:panose1 w:val="02000000000000000000"/>
    <w:charset w:val="86"/>
    <w:family w:val="auto"/>
    <w:pitch w:val="default"/>
    <w:sig w:usb0="A00002BF" w:usb1="184F6CFA" w:usb2="00000012" w:usb3="00000000" w:csb0="00040001" w:csb1="00000000"/>
    <w:embedRegular r:id="rId4" w:fontKey="{F45DCBD9-6D97-4C6E-A404-6796D2C3C014}"/>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FDA7">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63F29F">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963F29F">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1B3026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2E78">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030A1">
                          <w:pPr>
                            <w:pStyle w:val="4"/>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9C030A1">
                    <w:pPr>
                      <w:pStyle w:val="4"/>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DF27">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2F9F1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D2F9F1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HorizontalSpacing w:val="158"/>
  <w:drawingGridVerticalSpacing w:val="6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NTNkMWUzMjA2YmVhODhiMTVmMmZmMDg2MzBlNDYifQ=="/>
  </w:docVars>
  <w:rsids>
    <w:rsidRoot w:val="487065BE"/>
    <w:rsid w:val="00035CF4"/>
    <w:rsid w:val="00064280"/>
    <w:rsid w:val="000733FF"/>
    <w:rsid w:val="00077124"/>
    <w:rsid w:val="000863C5"/>
    <w:rsid w:val="001651CB"/>
    <w:rsid w:val="001C1876"/>
    <w:rsid w:val="00205377"/>
    <w:rsid w:val="00260537"/>
    <w:rsid w:val="00263CA5"/>
    <w:rsid w:val="002B0097"/>
    <w:rsid w:val="002B75C4"/>
    <w:rsid w:val="002F07D8"/>
    <w:rsid w:val="00303351"/>
    <w:rsid w:val="0033234D"/>
    <w:rsid w:val="00335461"/>
    <w:rsid w:val="00344C00"/>
    <w:rsid w:val="00377371"/>
    <w:rsid w:val="003D7D50"/>
    <w:rsid w:val="00433AD6"/>
    <w:rsid w:val="004469B5"/>
    <w:rsid w:val="00465F15"/>
    <w:rsid w:val="00496555"/>
    <w:rsid w:val="00562C2B"/>
    <w:rsid w:val="00676F63"/>
    <w:rsid w:val="00676FF8"/>
    <w:rsid w:val="006A6BE6"/>
    <w:rsid w:val="006D471D"/>
    <w:rsid w:val="006E3C83"/>
    <w:rsid w:val="006F1D83"/>
    <w:rsid w:val="0072455F"/>
    <w:rsid w:val="00762CF2"/>
    <w:rsid w:val="007727B0"/>
    <w:rsid w:val="00787787"/>
    <w:rsid w:val="00794535"/>
    <w:rsid w:val="007C2A62"/>
    <w:rsid w:val="007C491E"/>
    <w:rsid w:val="007C78EF"/>
    <w:rsid w:val="007C7CA8"/>
    <w:rsid w:val="007E1BAA"/>
    <w:rsid w:val="008274DA"/>
    <w:rsid w:val="00841BA9"/>
    <w:rsid w:val="00877B24"/>
    <w:rsid w:val="008872B5"/>
    <w:rsid w:val="008D0169"/>
    <w:rsid w:val="00916152"/>
    <w:rsid w:val="00926DA2"/>
    <w:rsid w:val="009919AB"/>
    <w:rsid w:val="009B618B"/>
    <w:rsid w:val="009F35C1"/>
    <w:rsid w:val="00A02A65"/>
    <w:rsid w:val="00A04051"/>
    <w:rsid w:val="00A20743"/>
    <w:rsid w:val="00A33C1A"/>
    <w:rsid w:val="00A933A7"/>
    <w:rsid w:val="00AC16E3"/>
    <w:rsid w:val="00AE7C12"/>
    <w:rsid w:val="00B120E4"/>
    <w:rsid w:val="00BA554D"/>
    <w:rsid w:val="00BD170E"/>
    <w:rsid w:val="00C2133C"/>
    <w:rsid w:val="00CC187C"/>
    <w:rsid w:val="00CD4DD8"/>
    <w:rsid w:val="00CE723A"/>
    <w:rsid w:val="00D1656E"/>
    <w:rsid w:val="00D36D4A"/>
    <w:rsid w:val="00D54AE6"/>
    <w:rsid w:val="00D96FF3"/>
    <w:rsid w:val="00DB67E8"/>
    <w:rsid w:val="00DE427C"/>
    <w:rsid w:val="00DE47A8"/>
    <w:rsid w:val="00DF1A8E"/>
    <w:rsid w:val="00E14489"/>
    <w:rsid w:val="00E75D91"/>
    <w:rsid w:val="00EA748B"/>
    <w:rsid w:val="00ED45E0"/>
    <w:rsid w:val="00ED48B0"/>
    <w:rsid w:val="00ED6912"/>
    <w:rsid w:val="00EE053C"/>
    <w:rsid w:val="00F07598"/>
    <w:rsid w:val="00FB79DE"/>
    <w:rsid w:val="01D640B8"/>
    <w:rsid w:val="05096B07"/>
    <w:rsid w:val="08606E49"/>
    <w:rsid w:val="0BD060BD"/>
    <w:rsid w:val="0F0E3698"/>
    <w:rsid w:val="112A6783"/>
    <w:rsid w:val="11531E95"/>
    <w:rsid w:val="13F23716"/>
    <w:rsid w:val="15D959C6"/>
    <w:rsid w:val="177A1F16"/>
    <w:rsid w:val="18427C27"/>
    <w:rsid w:val="1887593A"/>
    <w:rsid w:val="1DF779ED"/>
    <w:rsid w:val="1EA10E04"/>
    <w:rsid w:val="26752926"/>
    <w:rsid w:val="27A120EF"/>
    <w:rsid w:val="320E0A3F"/>
    <w:rsid w:val="32693A25"/>
    <w:rsid w:val="33192965"/>
    <w:rsid w:val="34204069"/>
    <w:rsid w:val="38C72E35"/>
    <w:rsid w:val="39C97A2C"/>
    <w:rsid w:val="3BE073CB"/>
    <w:rsid w:val="3EC82FB3"/>
    <w:rsid w:val="4335673E"/>
    <w:rsid w:val="452D72EA"/>
    <w:rsid w:val="47BC11DC"/>
    <w:rsid w:val="487065BE"/>
    <w:rsid w:val="49440676"/>
    <w:rsid w:val="54D10C8B"/>
    <w:rsid w:val="57212E09"/>
    <w:rsid w:val="575F1F5D"/>
    <w:rsid w:val="5A386ED9"/>
    <w:rsid w:val="5B6045E1"/>
    <w:rsid w:val="5E3C5C56"/>
    <w:rsid w:val="5EFC6636"/>
    <w:rsid w:val="61FC7CEC"/>
    <w:rsid w:val="63077F46"/>
    <w:rsid w:val="6AF74155"/>
    <w:rsid w:val="6D654858"/>
    <w:rsid w:val="6EC9405A"/>
    <w:rsid w:val="700F1F41"/>
    <w:rsid w:val="705F6A24"/>
    <w:rsid w:val="74220495"/>
    <w:rsid w:val="76AA5DBC"/>
    <w:rsid w:val="78A32270"/>
    <w:rsid w:val="7902048F"/>
    <w:rsid w:val="7CE06460"/>
    <w:rsid w:val="7E62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脚 字符"/>
    <w:basedOn w:val="8"/>
    <w:link w:val="4"/>
    <w:qFormat/>
    <w:uiPriority w:val="99"/>
    <w:rPr>
      <w:kern w:val="2"/>
      <w:sz w:val="18"/>
      <w:szCs w:val="18"/>
    </w:rPr>
  </w:style>
  <w:style w:type="character" w:customStyle="1" w:styleId="11">
    <w:name w:val="页眉 字符"/>
    <w:basedOn w:val="8"/>
    <w:link w:val="5"/>
    <w:qFormat/>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szCs w:val="24"/>
    </w:rPr>
  </w:style>
  <w:style w:type="character" w:customStyle="1" w:styleId="13">
    <w:name w:val="批注主题 字符"/>
    <w:basedOn w:val="12"/>
    <w:link w:val="6"/>
    <w:qFormat/>
    <w:uiPriority w:val="0"/>
    <w:rPr>
      <w:rFonts w:ascii="Times New Roman" w:hAnsi="Times New Roman" w:eastAsia="仿宋_GB2312"/>
      <w:b/>
      <w:bCs/>
      <w:kern w:val="2"/>
      <w:sz w:val="32"/>
      <w:szCs w:val="24"/>
    </w:rPr>
  </w:style>
  <w:style w:type="character" w:customStyle="1" w:styleId="14">
    <w:name w:val="批注框文本 字符"/>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istrator\Documents\WeChat%20Files\wxid_kao9ljw84zs712\FileStorage\File\2023-09\&#20989;&#8212;&#20303;&#24314;&#2361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函—住建局</Template>
  <Company>ITSK.com</Company>
  <Pages>6</Pages>
  <Words>2591</Words>
  <Characters>2623</Characters>
  <Lines>19</Lines>
  <Paragraphs>5</Paragraphs>
  <TotalTime>1</TotalTime>
  <ScaleCrop>false</ScaleCrop>
  <LinksUpToDate>false</LinksUpToDate>
  <CharactersWithSpaces>2687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2025-12-16T08:30:00Z</dcterms:created>
  <dc:creator>李晓琳（OA承办人）</dc:creator>
  <cp:lastModifiedBy>赵新可</cp:lastModifiedBy>
  <cp:lastPrinted>2025-12-16T05:33:00Z</cp:lastPrinted>
  <dcterms:modified xsi:type="dcterms:W3CDTF">2025-12-24T02:23:39Z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12777B1E8D6B44A6AE971CF1BA7348BC_13</vt:lpwstr>
  </property>
  <property fmtid="{D5CDD505-2E9C-101B-9397-08002B2CF9AE}" pid="4" name="KSOTemplateDocerSaveRecord">
    <vt:lpwstr>eyJoZGlkIjoiZDBmYmViMzA0ODhlMDY4MjM1MjYzZTRjZWZiMzM0YTIiLCJ1c2VySWQiOiIyNDgyNzEwNDAifQ==</vt:lpwstr>
  </property>
</Properties>
</file>