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beforeLines="0" w:after="0" w:afterLines="0"/>
        <w:textAlignment w:val="auto"/>
        <w:outlineLvl w:val="0"/>
        <w:rPr>
          <w:rFonts w:hint="eastAsia"/>
          <w:lang w:eastAsia="zh-CN"/>
        </w:rPr>
      </w:pPr>
      <w:r>
        <w:rPr>
          <w:rFonts w:hint="eastAsia"/>
          <w:lang w:eastAsia="zh-CN"/>
        </w:rPr>
        <w:t>金普新区城市管理综合执法局行政处罚自由裁量指导标准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为优化营商环境，进一步规范金普新区城市管理综合执法局行政处罚行为，根据《中华人民共和国行政处罚法》、《辽宁省规范行政裁量权办法》和与本局职权相关法律、法规、规章规定，结合本局行政执法办案工作实际，制定本指导标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本指导标准适用于查处违反市容环境卫生、城市绿化（含景区景点）、市政公用设施、供热、供水、燃气、城乡规划、建筑市场、房地产市场等领域法律、法规、规章规定的案件，以及环境保护管理方面社会生活噪声污染、建筑施工噪声污染、建筑施工扬尘污染、餐饮服务业油烟污染、露天烧烤污染、城市焚烧沥青塑料等烟尘和恶臭污染、城市露天焚烧秸秆等烟尘污染、城市燃放烟花爆竹污染案件，水务管理方面向城市河道倾倒废弃物和垃圾</w:t>
      </w:r>
      <w:bookmarkStart w:id="0" w:name="_GoBack"/>
      <w:bookmarkEnd w:id="0"/>
      <w:r>
        <w:rPr>
          <w:rFonts w:hint="eastAsia"/>
          <w:lang w:val="en-US" w:eastAsia="zh-CN"/>
        </w:rPr>
        <w:t>违规取土、城市河道违法建筑物案件，工商管理方面户外公共场所无照经营、违规设置户外广告案件，食品药品监管方面户外公共场所食品销售和餐饮摊点无证经营、违法回收贩卖药品案件。</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采用按区域和危害程度相结合的原则确定本局行政处罚自由裁量权指导标准。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市容环境卫生、城市绿化（含景区景点）、市政公用设施以及环境保护、水务管理、工商管理、食品药品监管类案件，按照违法行为发生的区域确定罚款金额：</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80" w:firstLineChars="200"/>
        <w:textAlignment w:val="auto"/>
        <w:outlineLvl w:val="9"/>
        <w:rPr>
          <w:rFonts w:hint="eastAsia"/>
          <w:lang w:val="en-US" w:eastAsia="zh-CN"/>
        </w:rPr>
      </w:pPr>
      <w:r>
        <w:rPr>
          <w:rFonts w:hint="eastAsia"/>
          <w:lang w:val="en-US" w:eastAsia="zh-CN"/>
        </w:rPr>
        <w:t>违法行为发生在一类严格控制地区（核心区），按照法律规定的处罚幅度下限金额上浮30%计算确定；只规定处罚幅度上限的，按照上限金额的50%确定。</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80" w:firstLineChars="200"/>
        <w:textAlignment w:val="auto"/>
        <w:outlineLvl w:val="9"/>
        <w:rPr>
          <w:rFonts w:hint="eastAsia"/>
          <w:lang w:val="en-US" w:eastAsia="zh-CN"/>
        </w:rPr>
      </w:pPr>
      <w:r>
        <w:rPr>
          <w:rFonts w:hint="eastAsia"/>
          <w:lang w:val="en-US" w:eastAsia="zh-CN"/>
        </w:rPr>
        <w:t>违法行为发生在二类重点管理地区，按照法律规定的处罚幅度下限上浮20%计算罚款金额；只规定处罚幅度上限的，按照上限金额的30%确定。</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80" w:firstLineChars="200"/>
        <w:textAlignment w:val="auto"/>
        <w:outlineLvl w:val="9"/>
        <w:rPr>
          <w:rFonts w:hint="eastAsia"/>
          <w:lang w:val="en-US" w:eastAsia="zh-CN"/>
        </w:rPr>
      </w:pPr>
      <w:r>
        <w:rPr>
          <w:rFonts w:hint="eastAsia"/>
          <w:lang w:val="en-US" w:eastAsia="zh-CN"/>
        </w:rPr>
        <w:t>违法行为发生在三类日常管理地区，按照法律规定的处罚幅度下限上浮10%计算罚款金额；只规定处罚幅度上限的，按照上限金额的20%确定。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textAlignment w:val="auto"/>
        <w:outlineLvl w:val="9"/>
        <w:rPr>
          <w:rFonts w:hint="eastAsia"/>
          <w:lang w:val="en-US" w:eastAsia="zh-CN"/>
        </w:rPr>
      </w:pPr>
      <w:r>
        <w:rPr>
          <w:rFonts w:hint="eastAsia"/>
          <w:lang w:val="en-US" w:eastAsia="zh-CN"/>
        </w:rPr>
        <w:t>上述区域的确定以《金普新区城管执法行政处罚裁量区域分类管理台账统计表》为准，《台账统计表》未规定的区域，按照前款第三项确定罚款金额。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textAlignment w:val="auto"/>
        <w:outlineLvl w:val="9"/>
        <w:rPr>
          <w:rFonts w:hint="eastAsia"/>
          <w:lang w:val="en-US" w:eastAsia="zh-CN"/>
        </w:rPr>
      </w:pPr>
      <w:r>
        <w:rPr>
          <w:rFonts w:hint="eastAsia"/>
          <w:lang w:val="en-US" w:eastAsia="zh-CN"/>
        </w:rPr>
        <w:t>第五条 城市规划、建筑市场、房地产市场类市场案件的罚款金额按照法律规定的处罚幅度下限上浮10%范围内计算罚款金额。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textAlignment w:val="auto"/>
        <w:outlineLvl w:val="9"/>
        <w:rPr>
          <w:rFonts w:hint="eastAsia"/>
          <w:lang w:val="en-US" w:eastAsia="zh-CN"/>
        </w:rPr>
      </w:pPr>
      <w:r>
        <w:rPr>
          <w:rFonts w:hint="eastAsia"/>
          <w:lang w:val="en-US" w:eastAsia="zh-CN"/>
        </w:rPr>
        <w:t>未取得建筑工程施工许可擅自施工建设案，对施工单位的行政处罚金额以对建设单位的行政处罚金额做为参考标准，要以等于略小于建设单位的行政处罚金额。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textAlignment w:val="auto"/>
        <w:outlineLvl w:val="9"/>
        <w:rPr>
          <w:rFonts w:hint="eastAsia"/>
          <w:lang w:val="en-US" w:eastAsia="zh-CN"/>
        </w:rPr>
      </w:pPr>
      <w:r>
        <w:rPr>
          <w:rFonts w:hint="eastAsia"/>
          <w:lang w:val="en-US" w:eastAsia="zh-CN"/>
        </w:rPr>
        <w:t>城市规划、建筑市场、房地产市场类案件法律、法规、规章只规定处罚幅度上限的，按照处罚幅度上限20%计算处罚金额。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textAlignment w:val="auto"/>
        <w:outlineLvl w:val="9"/>
        <w:rPr>
          <w:rFonts w:hint="eastAsia"/>
          <w:lang w:val="en-US" w:eastAsia="zh-CN"/>
        </w:rPr>
      </w:pPr>
      <w:r>
        <w:rPr>
          <w:rFonts w:hint="eastAsia"/>
          <w:lang w:val="en-US" w:eastAsia="zh-CN"/>
        </w:rPr>
        <w:t>第六条 违法情形严重或者危害程度较大的，经局案件审理委员会讨论决定，可在第四条、第五条规定的自由裁量范围至法定处罚幅度上限之间确定处罚金额。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textAlignment w:val="auto"/>
        <w:outlineLvl w:val="9"/>
        <w:rPr>
          <w:rFonts w:hint="eastAsia"/>
          <w:lang w:val="en-US" w:eastAsia="zh-CN"/>
        </w:rPr>
      </w:pPr>
      <w:r>
        <w:rPr>
          <w:rFonts w:hint="eastAsia"/>
          <w:lang w:val="en-US" w:eastAsia="zh-CN"/>
        </w:rPr>
        <w:t>第七条 法律、法规、规章对行政处罚自由裁量权有规定的，从其规定。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80" w:firstLineChars="200"/>
        <w:textAlignment w:val="auto"/>
        <w:outlineLvl w:val="9"/>
        <w:rPr>
          <w:rFonts w:hint="eastAsia"/>
          <w:lang w:val="en-US" w:eastAsia="zh-CN"/>
        </w:rPr>
      </w:pPr>
      <w:r>
        <w:rPr>
          <w:rFonts w:hint="eastAsia"/>
          <w:lang w:val="en-US" w:eastAsia="zh-CN"/>
        </w:rPr>
        <w:t>第八条 本指导标准自发布之日起生效。</w:t>
      </w:r>
    </w:p>
    <w:sectPr>
      <w:pgSz w:w="11906" w:h="16838"/>
      <w:pgMar w:top="2211" w:right="1531" w:bottom="1871" w:left="1531" w:header="851" w:footer="992" w:gutter="0"/>
      <w:cols w:space="0" w:num="1"/>
      <w:rtlGutter w:val="0"/>
      <w:docGrid w:type="linesAndChars" w:linePitch="579"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6FE5F2"/>
    <w:multiLevelType w:val="singleLevel"/>
    <w:tmpl w:val="946FE5F2"/>
    <w:lvl w:ilvl="0" w:tentative="0">
      <w:start w:val="1"/>
      <w:numFmt w:val="chineseCounting"/>
      <w:suff w:val="nothing"/>
      <w:lvlText w:val="（%1）"/>
      <w:lvlJc w:val="left"/>
      <w:rPr>
        <w:rFonts w:hint="eastAsia"/>
      </w:rPr>
    </w:lvl>
  </w:abstractNum>
  <w:abstractNum w:abstractNumId="1">
    <w:nsid w:val="A5ED6C26"/>
    <w:multiLevelType w:val="singleLevel"/>
    <w:tmpl w:val="A5ED6C26"/>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HorizontalSpacing w:val="340"/>
  <w:drawingGridVerticalSpacing w:val="2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07015"/>
    <w:rsid w:val="0587260E"/>
    <w:rsid w:val="0AA434F7"/>
    <w:rsid w:val="130A2E27"/>
    <w:rsid w:val="16261A41"/>
    <w:rsid w:val="57015389"/>
    <w:rsid w:val="6D535020"/>
    <w:rsid w:val="756B311C"/>
    <w:rsid w:val="7D007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00" w:beforeLines="100" w:beforeAutospacing="0" w:after="100" w:afterLines="100" w:afterAutospacing="0" w:line="240" w:lineRule="auto"/>
      <w:jc w:val="center"/>
      <w:outlineLvl w:val="0"/>
    </w:pPr>
    <w:rPr>
      <w:rFonts w:eastAsia="方正小标宋简体"/>
      <w:kern w:val="44"/>
      <w:sz w:val="44"/>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41</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2018-07-03T07:41:00Z</dcterms:created>
  <dc:creator>子系民</dc:creator>
  <cp:lastModifiedBy>子系民</cp:lastModifiedBy>
  <cp:lastPrinted>2018-07-10T04:59:00Z</cp:lastPrinted>
  <dcterms:modified xsi:type="dcterms:W3CDTF">2018-07-13T06:00:54Z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