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pacing w:val="-18"/>
          <w:sz w:val="44"/>
          <w:szCs w:val="44"/>
        </w:rPr>
        <w:t>《</w:t>
      </w:r>
      <w:r>
        <w:rPr>
          <w:rFonts w:ascii="Times New Roman" w:hAnsi="Times New Roman" w:eastAsia="方正小标宋简体" w:cs="Times New Roman"/>
          <w:spacing w:val="-18"/>
          <w:sz w:val="44"/>
          <w:szCs w:val="44"/>
        </w:rPr>
        <w:t>大连普湾经济区管理办法（</w:t>
      </w:r>
      <w:r>
        <w:rPr>
          <w:rFonts w:hint="eastAsia" w:ascii="Times New Roman" w:hAnsi="Times New Roman" w:eastAsia="方正小标宋简体" w:cs="Times New Roman"/>
          <w:spacing w:val="-18"/>
          <w:sz w:val="44"/>
          <w:szCs w:val="44"/>
        </w:rPr>
        <w:t>征求意见稿</w:t>
      </w:r>
      <w:r>
        <w:rPr>
          <w:rFonts w:ascii="Times New Roman" w:hAnsi="Times New Roman" w:eastAsia="方正小标宋简体" w:cs="Times New Roman"/>
          <w:spacing w:val="-18"/>
          <w:sz w:val="44"/>
          <w:szCs w:val="44"/>
        </w:rPr>
        <w:t>）</w:t>
      </w:r>
      <w:r>
        <w:rPr>
          <w:rFonts w:hint="eastAsia" w:ascii="Times New Roman" w:hAnsi="Times New Roman" w:eastAsia="方正小标宋简体" w:cs="Times New Roman"/>
          <w:spacing w:val="-18"/>
          <w:sz w:val="44"/>
          <w:szCs w:val="44"/>
        </w:rPr>
        <w:t>》</w:t>
      </w:r>
    </w:p>
    <w:p>
      <w:pPr>
        <w:spacing w:line="520" w:lineRule="exact"/>
        <w:jc w:val="center"/>
        <w:rPr>
          <w:rFonts w:ascii="Times New Roman" w:hAnsi="Times New Roman" w:eastAsia="方正小标宋简体" w:cs="Times New Roman"/>
          <w:spacing w:val="-18"/>
          <w:sz w:val="44"/>
          <w:szCs w:val="44"/>
        </w:rPr>
      </w:pPr>
      <w:r>
        <w:rPr>
          <w:rFonts w:ascii="Times New Roman" w:hAnsi="Times New Roman" w:eastAsia="方正小标宋简体" w:cs="Times New Roman"/>
          <w:spacing w:val="-18"/>
          <w:sz w:val="44"/>
          <w:szCs w:val="44"/>
        </w:rPr>
        <w:t>起草说明</w:t>
      </w:r>
    </w:p>
    <w:p>
      <w:pPr>
        <w:spacing w:line="520" w:lineRule="exact"/>
        <w:jc w:val="center"/>
        <w:rPr>
          <w:rFonts w:ascii="Times New Roman" w:hAnsi="Times New Roman" w:eastAsia="方正小标宋简体"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为规范大连普湾经济区管理，进一步优化经济区投资环境，促进经济与贸易合作，保障经济区可持续发展，大连普湾经济区</w:t>
      </w:r>
      <w:r>
        <w:rPr>
          <w:rFonts w:ascii="Times New Roman" w:hAnsi="Times New Roman" w:eastAsia="仿宋_GB2312" w:cs="Times New Roman"/>
          <w:color w:val="000000"/>
          <w:kern w:val="0"/>
          <w:sz w:val="32"/>
          <w:szCs w:val="32"/>
        </w:rPr>
        <w:t>按照市委市政府立法工作部署，立足园区发展实际</w:t>
      </w:r>
      <w:r>
        <w:rPr>
          <w:rFonts w:ascii="Times New Roman" w:hAnsi="Times New Roman" w:eastAsia="仿宋_GB2312" w:cs="Times New Roman"/>
          <w:sz w:val="32"/>
          <w:szCs w:val="32"/>
        </w:rPr>
        <w:t>，起草了《大连普湾经济区管理办法（草案）》（以下简称《管理办法》），现就有关情况说明如下：</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一、制定《管理办法》必要性</w:t>
      </w:r>
    </w:p>
    <w:p>
      <w:pPr>
        <w:spacing w:line="520" w:lineRule="exact"/>
        <w:ind w:firstLine="643" w:firstLineChars="200"/>
        <w:rPr>
          <w:rFonts w:ascii="Times New Roman" w:hAnsi="Times New Roman" w:eastAsia="仿宋_GB2312" w:cs="Times New Roman"/>
          <w:sz w:val="32"/>
          <w:szCs w:val="32"/>
        </w:rPr>
      </w:pPr>
      <w:r>
        <w:rPr>
          <w:rFonts w:hint="eastAsia" w:ascii="楷体_GB2312" w:hAnsi="楷体_GB2312" w:eastAsia="楷体_GB2312" w:cs="楷体_GB2312"/>
          <w:b/>
          <w:bCs/>
          <w:sz w:val="32"/>
          <w:szCs w:val="32"/>
        </w:rPr>
        <w:t>（一）制定《管理办法》是落实市委、市政府在普湾经济区全面推行法定机构改革试点工作部署的需要。</w:t>
      </w:r>
      <w:r>
        <w:rPr>
          <w:rFonts w:ascii="Times New Roman" w:hAnsi="Times New Roman" w:eastAsia="仿宋_GB2312" w:cs="Times New Roman"/>
          <w:sz w:val="32"/>
          <w:szCs w:val="32"/>
        </w:rPr>
        <w:t>根据《大连市深化园区改革方案》（大委办发〔2019〕51号）提出深化园区体制机制改革，探索推行法定机构改革试点，创新园区人事制度和薪酬制度，推动园区创新发展、转型发展。《中共大连市委办公室印发&lt;关于在金普新区开展园区法定机构改革试点的指导意见&gt;的通知》（大委办发〔2020〕35号）要求强化法治保障。市政府制定出台普湾经济区的管理规定。通过制定《管理办法》，确保各项管理和改革措施在法治轨道上有序推进。</w:t>
      </w:r>
    </w:p>
    <w:p>
      <w:pPr>
        <w:spacing w:line="520" w:lineRule="exact"/>
        <w:ind w:firstLine="643" w:firstLineChars="200"/>
        <w:rPr>
          <w:rFonts w:ascii="Times New Roman" w:hAnsi="Times New Roman" w:eastAsia="仿宋_GB2312" w:cs="Times New Roman"/>
          <w:sz w:val="32"/>
          <w:szCs w:val="32"/>
        </w:rPr>
      </w:pPr>
      <w:r>
        <w:rPr>
          <w:rFonts w:ascii="楷体_GB2312" w:hAnsi="楷体_GB2312" w:eastAsia="楷体_GB2312" w:cs="楷体_GB2312"/>
          <w:b/>
          <w:bCs/>
          <w:sz w:val="32"/>
          <w:szCs w:val="32"/>
        </w:rPr>
        <w:t>（二）制定《管理办法》是优化营商环境，提升园区核心竞争力的必然要求。</w:t>
      </w:r>
      <w:r>
        <w:rPr>
          <w:rFonts w:ascii="Times New Roman" w:hAnsi="Times New Roman" w:eastAsia="仿宋_GB2312" w:cs="Times New Roman"/>
          <w:sz w:val="32"/>
          <w:szCs w:val="32"/>
        </w:rPr>
        <w:t>面对当前激烈的市场竞争环境，要想抢占经济的制高点，必须营造一个良好的法制环境。制定《管理办法》是改善经济区法制环境的重大举措，依法管理，依法办事，简化审批程序，减少办事环节，为进区的市场主体提供便捷、周到、优质的服务，不断优化营商环境，吸引更多的投资者到经济区投资建设，对增强竞争能力，促进经济区快速发展至关重要。</w:t>
      </w:r>
    </w:p>
    <w:p>
      <w:pPr>
        <w:spacing w:line="520" w:lineRule="exact"/>
        <w:ind w:firstLine="643" w:firstLineChars="200"/>
        <w:rPr>
          <w:rFonts w:ascii="Times New Roman" w:hAnsi="Times New Roman" w:eastAsia="仿宋_GB2312" w:cs="Times New Roman"/>
          <w:sz w:val="32"/>
          <w:szCs w:val="32"/>
        </w:rPr>
      </w:pPr>
      <w:r>
        <w:rPr>
          <w:rFonts w:ascii="楷体_GB2312" w:hAnsi="楷体_GB2312" w:eastAsia="楷体_GB2312" w:cs="楷体_GB2312"/>
          <w:b/>
          <w:bCs/>
          <w:sz w:val="32"/>
          <w:szCs w:val="32"/>
        </w:rPr>
        <w:t>（三）制定《管理办法》是理顺管理体制，激发经济区发展活力的制度保障。</w:t>
      </w:r>
      <w:r>
        <w:rPr>
          <w:rFonts w:ascii="Times New Roman" w:hAnsi="Times New Roman" w:eastAsia="仿宋_GB2312" w:cs="Times New Roman"/>
          <w:sz w:val="32"/>
          <w:szCs w:val="32"/>
        </w:rPr>
        <w:t>政策和法规是保证经济区不断创新和实现跨越式发展的首要条件。在当前的形势下，法定机构作为新生事物，在建设和管理上仍面临诸多问题，如依法管理的依据不充分；法律地位需进一步明确等。为进一步理顺经济区管理体制，把市委、市政府赋予经济区的管理权限以法律的形式加以明确，依法营造经济区内、外部良好的投资、发展环境，制定相应的地方性法规非常必要。。</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二、起草过程</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2020年</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制定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大连普湾经济区管理</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被列入市政府立法预备项目，普湾经济区</w:t>
      </w:r>
      <w:r>
        <w:rPr>
          <w:rFonts w:hint="eastAsia" w:ascii="Times New Roman" w:hAnsi="Times New Roman" w:eastAsia="仿宋_GB2312" w:cs="Times New Roman"/>
          <w:sz w:val="32"/>
          <w:szCs w:val="32"/>
        </w:rPr>
        <w:t>当年研究起草了</w:t>
      </w:r>
      <w:r>
        <w:rPr>
          <w:rFonts w:ascii="Times New Roman" w:hAnsi="Times New Roman" w:eastAsia="仿宋_GB2312" w:cs="Times New Roman"/>
          <w:sz w:val="32"/>
          <w:szCs w:val="32"/>
        </w:rPr>
        <w:t>《管理办法》</w:t>
      </w:r>
      <w:r>
        <w:rPr>
          <w:rFonts w:hint="eastAsia" w:ascii="Times New Roman" w:hAnsi="Times New Roman" w:eastAsia="仿宋_GB2312" w:cs="Times New Roman"/>
          <w:sz w:val="32"/>
          <w:szCs w:val="32"/>
        </w:rPr>
        <w:t>。在履行征求</w:t>
      </w:r>
      <w:r>
        <w:rPr>
          <w:rFonts w:ascii="Times New Roman" w:hAnsi="Times New Roman" w:eastAsia="仿宋_GB2312" w:cs="Times New Roman"/>
          <w:sz w:val="32"/>
          <w:szCs w:val="32"/>
        </w:rPr>
        <w:t>意见</w:t>
      </w:r>
      <w:r>
        <w:rPr>
          <w:rFonts w:hint="eastAsia" w:ascii="Times New Roman" w:hAnsi="Times New Roman" w:eastAsia="仿宋_GB2312" w:cs="Times New Roman"/>
          <w:sz w:val="32"/>
          <w:szCs w:val="32"/>
        </w:rPr>
        <w:t>、合法性审查、公平竞争审查等程序，</w:t>
      </w:r>
      <w:r>
        <w:rPr>
          <w:rFonts w:ascii="Times New Roman" w:hAnsi="Times New Roman" w:eastAsia="仿宋_GB2312" w:cs="Times New Roman"/>
          <w:sz w:val="32"/>
          <w:szCs w:val="32"/>
        </w:rPr>
        <w:t>报送市司法局</w:t>
      </w:r>
      <w:r>
        <w:rPr>
          <w:rFonts w:hint="eastAsia" w:ascii="Times New Roman" w:hAnsi="Times New Roman" w:eastAsia="仿宋_GB2312" w:cs="Times New Roman"/>
          <w:sz w:val="32"/>
          <w:szCs w:val="32"/>
        </w:rPr>
        <w:t>履行后续立法程序</w:t>
      </w:r>
      <w:r>
        <w:rPr>
          <w:rFonts w:ascii="Times New Roman" w:hAnsi="Times New Roman" w:eastAsia="仿宋_GB2312" w:cs="Times New Roman"/>
          <w:sz w:val="32"/>
          <w:szCs w:val="32"/>
        </w:rPr>
        <w:t>。</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2022年，制定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大连普湾经济区管理</w:t>
      </w:r>
      <w:r>
        <w:rPr>
          <w:rFonts w:hint="eastAsia" w:ascii="Times New Roman" w:hAnsi="Times New Roman" w:eastAsia="仿宋_GB2312" w:cs="Times New Roman"/>
          <w:sz w:val="32"/>
          <w:szCs w:val="32"/>
        </w:rPr>
        <w:t>办法》</w:t>
      </w:r>
      <w:r>
        <w:rPr>
          <w:rFonts w:ascii="Times New Roman" w:hAnsi="Times New Roman" w:eastAsia="仿宋_GB2312" w:cs="Times New Roman"/>
          <w:sz w:val="32"/>
          <w:szCs w:val="32"/>
        </w:rPr>
        <w:t>再次被列入市政府2022年制定规章工作计划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普湾经济区</w:t>
      </w:r>
      <w:r>
        <w:rPr>
          <w:rFonts w:hint="eastAsia" w:ascii="Times New Roman" w:hAnsi="Times New Roman" w:eastAsia="仿宋_GB2312" w:cs="Times New Roman"/>
          <w:sz w:val="32"/>
          <w:szCs w:val="32"/>
        </w:rPr>
        <w:t>修订了《管理办法》，并履行了内部征求意见、会议审议程序，经集体决策通过，</w:t>
      </w:r>
      <w:r>
        <w:rPr>
          <w:rFonts w:ascii="Times New Roman" w:hAnsi="Times New Roman" w:eastAsia="仿宋_GB2312" w:cs="Times New Roman"/>
          <w:sz w:val="32"/>
          <w:szCs w:val="32"/>
        </w:rPr>
        <w:t>形成了目前的《管理办法</w:t>
      </w:r>
      <w:r>
        <w:rPr>
          <w:rFonts w:hint="eastAsia" w:ascii="Times New Roman" w:hAnsi="Times New Roman" w:eastAsia="仿宋_GB2312" w:cs="Times New Roman"/>
          <w:sz w:val="32"/>
          <w:szCs w:val="32"/>
        </w:rPr>
        <w:t>（征求意见稿）</w:t>
      </w:r>
      <w:r>
        <w:rPr>
          <w:rFonts w:ascii="Times New Roman" w:hAnsi="Times New Roman" w:eastAsia="仿宋_GB2312" w:cs="Times New Roman"/>
          <w:sz w:val="32"/>
          <w:szCs w:val="32"/>
        </w:rPr>
        <w:t>》。</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三、主要依据</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《管理办法》主要依据国务院、辽宁省、大连市及金普新区有关普湾经济区发展的政策性文件，并参考了其他省市开发区相关政策性文件。</w:t>
      </w:r>
    </w:p>
    <w:p>
      <w:pPr>
        <w:spacing w:line="520" w:lineRule="exact"/>
        <w:ind w:firstLine="643" w:firstLineChars="200"/>
        <w:rPr>
          <w:rFonts w:ascii="Times New Roman" w:hAnsi="Times New Roman" w:eastAsia="仿宋_GB2312" w:cs="Times New Roman"/>
          <w:sz w:val="32"/>
          <w:szCs w:val="32"/>
        </w:rPr>
      </w:pPr>
      <w:r>
        <w:rPr>
          <w:rFonts w:ascii="楷体_GB2312" w:hAnsi="楷体_GB2312" w:eastAsia="楷体_GB2312" w:cs="楷体_GB2312"/>
          <w:b/>
          <w:bCs/>
          <w:sz w:val="32"/>
          <w:szCs w:val="32"/>
        </w:rPr>
        <w:t>（一）依据的文件主要包括：</w:t>
      </w:r>
      <w:r>
        <w:rPr>
          <w:rFonts w:ascii="Times New Roman" w:hAnsi="Times New Roman" w:eastAsia="仿宋_GB2312" w:cs="Times New Roman"/>
          <w:sz w:val="32"/>
          <w:szCs w:val="32"/>
        </w:rPr>
        <w:t>《辽宁省开发区条例》（2018年10月11日辽宁省第十三届人民代表大会常务委员会第五次会议通过）、国务院办公厅《关于促进开发区改革和创新发展的若干意见》（国办发〔2017〕7号）、国务院《关于推进国家级经济技术开发区创新提升打造改革开放新高地的意见》（国发〔2019〕11号）、《辽宁省人民政府关于推进全省经济开发区高质量发展的实施意见》（辽政发〔2019〕26号）《关于在金普新区开展园区法定机构改革试点的指导意见》（大委办发〔2020〕35号）以及《金普新区开展园区法定机构改革试点实施方案》（大金普工委办发〔2020〕53号）等。</w:t>
      </w:r>
    </w:p>
    <w:p>
      <w:pPr>
        <w:spacing w:line="520" w:lineRule="exact"/>
        <w:ind w:firstLine="643" w:firstLineChars="200"/>
        <w:rPr>
          <w:rFonts w:ascii="Times New Roman" w:hAnsi="Times New Roman" w:eastAsia="仿宋_GB2312" w:cs="Times New Roman"/>
          <w:sz w:val="32"/>
          <w:szCs w:val="32"/>
        </w:rPr>
      </w:pPr>
      <w:r>
        <w:rPr>
          <w:rFonts w:ascii="楷体_GB2312" w:hAnsi="楷体_GB2312" w:eastAsia="楷体_GB2312" w:cs="楷体_GB2312"/>
          <w:b/>
          <w:bCs/>
          <w:sz w:val="32"/>
          <w:szCs w:val="32"/>
        </w:rPr>
        <w:t>（二）参考的文件主要包括：</w:t>
      </w:r>
      <w:r>
        <w:rPr>
          <w:rFonts w:ascii="Times New Roman" w:hAnsi="Times New Roman" w:eastAsia="仿宋_GB2312" w:cs="Times New Roman"/>
          <w:sz w:val="32"/>
          <w:szCs w:val="32"/>
        </w:rPr>
        <w:t>《天津港保税区条例》</w:t>
      </w:r>
      <w:r>
        <w:rPr>
          <w:rFonts w:hint="eastAsia" w:ascii="Times New Roman" w:hAnsi="Times New Roman" w:eastAsia="仿宋_GB2312" w:cs="Times New Roman"/>
          <w:sz w:val="32"/>
          <w:szCs w:val="32"/>
        </w:rPr>
        <w:t>（2019年5月30日天津市第十七届人民代表大会常务委员会第十一次会议修正）、</w:t>
      </w:r>
      <w:r>
        <w:rPr>
          <w:rFonts w:ascii="Times New Roman" w:hAnsi="Times New Roman" w:eastAsia="仿宋_GB2312" w:cs="Times New Roman"/>
          <w:sz w:val="32"/>
          <w:szCs w:val="32"/>
        </w:rPr>
        <w:t>《中国（天津）自由贸易试验区条例》</w:t>
      </w:r>
      <w:r>
        <w:rPr>
          <w:rFonts w:hint="eastAsia" w:ascii="Times New Roman" w:hAnsi="Times New Roman" w:eastAsia="仿宋_GB2312" w:cs="Times New Roman"/>
          <w:sz w:val="32"/>
          <w:szCs w:val="32"/>
        </w:rPr>
        <w:t>（2022年9月27日天津市第十七届人民代表大会常务委员会第三十七次会议修正）、</w:t>
      </w:r>
      <w:r>
        <w:rPr>
          <w:rFonts w:ascii="Times New Roman" w:hAnsi="Times New Roman" w:eastAsia="仿宋_GB2312" w:cs="Times New Roman"/>
          <w:sz w:val="32"/>
          <w:szCs w:val="32"/>
        </w:rPr>
        <w:t>《深圳经济特区前海深港现代服务业合作区条例》《山东省青岛西海岸新区条例》</w:t>
      </w:r>
      <w:r>
        <w:rPr>
          <w:rFonts w:hint="eastAsia" w:ascii="Times New Roman" w:hAnsi="Times New Roman" w:eastAsia="仿宋_GB2312" w:cs="Times New Roman"/>
          <w:sz w:val="32"/>
          <w:szCs w:val="32"/>
        </w:rPr>
        <w:t>（2017年12月1日山东省第十二届人民代表大会常务委员会第三十三次会议通过）、</w:t>
      </w:r>
      <w:r>
        <w:rPr>
          <w:rFonts w:ascii="Times New Roman" w:hAnsi="Times New Roman" w:eastAsia="仿宋_GB2312" w:cs="Times New Roman"/>
          <w:sz w:val="32"/>
          <w:szCs w:val="32"/>
        </w:rPr>
        <w:t>《昆明空港经济区管理办法》</w:t>
      </w:r>
      <w:r>
        <w:rPr>
          <w:rFonts w:hint="eastAsia" w:ascii="Times New Roman" w:hAnsi="Times New Roman" w:eastAsia="仿宋_GB2312" w:cs="Times New Roman"/>
          <w:sz w:val="32"/>
          <w:szCs w:val="32"/>
        </w:rPr>
        <w:t>（昆明市人民政府第70号令 ）、</w:t>
      </w:r>
      <w:r>
        <w:rPr>
          <w:rFonts w:ascii="Times New Roman" w:hAnsi="Times New Roman" w:eastAsia="仿宋_GB2312" w:cs="Times New Roman"/>
          <w:sz w:val="32"/>
          <w:szCs w:val="32"/>
        </w:rPr>
        <w:t>《大连保税区管理条例》</w:t>
      </w:r>
      <w:r>
        <w:rPr>
          <w:rFonts w:hint="eastAsia" w:ascii="Times New Roman" w:hAnsi="Times New Roman" w:eastAsia="仿宋_GB2312" w:cs="Times New Roman"/>
          <w:sz w:val="32"/>
          <w:szCs w:val="32"/>
        </w:rPr>
        <w:t>（2010年9月29日辽宁省第十一届人民代表大会常务委员会第十九次会议修正）、</w:t>
      </w:r>
      <w:r>
        <w:rPr>
          <w:rFonts w:ascii="Times New Roman" w:hAnsi="Times New Roman" w:eastAsia="仿宋_GB2312" w:cs="Times New Roman"/>
          <w:sz w:val="32"/>
          <w:szCs w:val="32"/>
        </w:rPr>
        <w:t>《大连金石滩国家旅游度假区管理条例》</w:t>
      </w:r>
      <w:r>
        <w:rPr>
          <w:rFonts w:hint="eastAsia" w:ascii="Times New Roman" w:hAnsi="Times New Roman" w:eastAsia="仿宋_GB2312" w:cs="Times New Roman"/>
          <w:sz w:val="32"/>
          <w:szCs w:val="32"/>
        </w:rPr>
        <w:t>（2010年9月29日辽宁省第十一届人民代表大会常务委员会第十九次会议修正）</w:t>
      </w:r>
      <w:r>
        <w:rPr>
          <w:rFonts w:ascii="Times New Roman" w:hAnsi="Times New Roman" w:eastAsia="仿宋_GB2312" w:cs="Times New Roman"/>
          <w:sz w:val="32"/>
          <w:szCs w:val="32"/>
        </w:rPr>
        <w:t>等。</w:t>
      </w:r>
    </w:p>
    <w:p>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四、主要内容及说明</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《管理办法》分为六章共二十九条，</w:t>
      </w:r>
      <w:r>
        <w:rPr>
          <w:rFonts w:hint="eastAsia" w:ascii="Times New Roman" w:hAnsi="Times New Roman" w:eastAsia="仿宋_GB2312" w:cs="Times New Roman"/>
          <w:sz w:val="32"/>
          <w:szCs w:val="32"/>
        </w:rPr>
        <w:t>确立了管理体制、规划建设、产业促进和营商环境四个核心章节，</w:t>
      </w:r>
      <w:r>
        <w:rPr>
          <w:rFonts w:ascii="Times New Roman" w:hAnsi="Times New Roman" w:eastAsia="仿宋_GB2312" w:cs="Times New Roman"/>
          <w:sz w:val="32"/>
          <w:szCs w:val="32"/>
        </w:rPr>
        <w:t>具体内容</w:t>
      </w:r>
      <w:r>
        <w:rPr>
          <w:rFonts w:hint="eastAsia" w:ascii="Times New Roman" w:hAnsi="Times New Roman" w:eastAsia="仿宋_GB2312" w:cs="Times New Roman"/>
          <w:sz w:val="32"/>
          <w:szCs w:val="32"/>
        </w:rPr>
        <w:t>如下</w:t>
      </w:r>
      <w:r>
        <w:rPr>
          <w:rFonts w:ascii="Times New Roman" w:hAnsi="Times New Roman" w:eastAsia="仿宋_GB2312" w:cs="Times New Roman"/>
          <w:sz w:val="32"/>
          <w:szCs w:val="32"/>
        </w:rPr>
        <w:t>：</w:t>
      </w:r>
    </w:p>
    <w:p>
      <w:pPr>
        <w:spacing w:line="52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（一）关于经济区管理体制</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二章明确经济区管委会为机关法人资格的法定机构以及依法行使的职责权限。在规划编制、政策实施、项目布局、资金安排、体制创新、试点示范、扩大开放等方面支持经济区建设和发展。对人事和薪酬创新管理机制以及财务管理作出明确规定。</w:t>
      </w:r>
    </w:p>
    <w:p>
      <w:pPr>
        <w:spacing w:line="52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（二）关于</w:t>
      </w:r>
      <w:r>
        <w:rPr>
          <w:rFonts w:hint="eastAsia" w:ascii="楷体_GB2312" w:hAnsi="楷体_GB2312" w:eastAsia="楷体_GB2312" w:cs="楷体_GB2312"/>
          <w:b/>
          <w:bCs/>
          <w:sz w:val="32"/>
          <w:szCs w:val="32"/>
        </w:rPr>
        <w:t>规划</w:t>
      </w:r>
      <w:r>
        <w:rPr>
          <w:rFonts w:ascii="楷体_GB2312" w:hAnsi="楷体_GB2312" w:eastAsia="楷体_GB2312" w:cs="楷体_GB2312"/>
          <w:b/>
          <w:bCs/>
          <w:sz w:val="32"/>
          <w:szCs w:val="32"/>
        </w:rPr>
        <w:t>建设管理</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三章重点规定了土地利用机制和工业用地供地方式；明确建立完善低效利用土地退出机制，节约集约利用土地。重点规定了经济区工业用地探索采用先租后让、弹性出让等供应方式。强调运用产权规范交易、并购重组、混合所有制改革、市场化债转股等创新方式加强存量资产优化整合。加强环保管理，鼓励节能减排。</w:t>
      </w:r>
    </w:p>
    <w:p>
      <w:pPr>
        <w:spacing w:line="520" w:lineRule="exact"/>
        <w:ind w:firstLine="643" w:firstLineChars="200"/>
        <w:rPr>
          <w:rFonts w:ascii="楷体_GB2312" w:hAnsi="楷体_GB2312" w:eastAsia="楷体_GB2312" w:cs="楷体_GB2312"/>
          <w:b/>
          <w:bCs/>
          <w:sz w:val="32"/>
          <w:szCs w:val="32"/>
        </w:rPr>
      </w:pP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三</w:t>
      </w:r>
      <w:r>
        <w:rPr>
          <w:rFonts w:ascii="楷体_GB2312" w:hAnsi="楷体_GB2312" w:eastAsia="楷体_GB2312" w:cs="楷体_GB2312"/>
          <w:b/>
          <w:bCs/>
          <w:sz w:val="32"/>
          <w:szCs w:val="32"/>
        </w:rPr>
        <w:t>）</w:t>
      </w:r>
      <w:r>
        <w:rPr>
          <w:rFonts w:hint="eastAsia" w:ascii="楷体_GB2312" w:hAnsi="楷体_GB2312" w:eastAsia="楷体_GB2312" w:cs="楷体_GB2312"/>
          <w:b/>
          <w:bCs/>
          <w:sz w:val="32"/>
          <w:szCs w:val="32"/>
        </w:rPr>
        <w:t>关于经济区</w:t>
      </w:r>
      <w:r>
        <w:rPr>
          <w:rFonts w:ascii="楷体_GB2312" w:hAnsi="楷体_GB2312" w:eastAsia="楷体_GB2312" w:cs="楷体_GB2312"/>
          <w:b/>
          <w:bCs/>
          <w:sz w:val="32"/>
          <w:szCs w:val="32"/>
        </w:rPr>
        <w:t>产业发展</w:t>
      </w:r>
    </w:p>
    <w:p>
      <w:pPr>
        <w:spacing w:line="520" w:lineRule="exact"/>
        <w:ind w:firstLine="640" w:firstLineChars="200"/>
        <w:rPr>
          <w:rFonts w:ascii="楷体_GB2312" w:hAnsi="楷体_GB2312" w:eastAsia="楷体_GB2312" w:cs="楷体_GB2312"/>
          <w:b/>
          <w:bCs/>
          <w:sz w:val="32"/>
          <w:szCs w:val="32"/>
        </w:rPr>
      </w:pPr>
      <w:r>
        <w:rPr>
          <w:rFonts w:ascii="Times New Roman" w:hAnsi="Times New Roman" w:eastAsia="仿宋_GB2312" w:cs="Times New Roman"/>
          <w:sz w:val="32"/>
          <w:szCs w:val="32"/>
        </w:rPr>
        <w:t>第四章主要对经济区产业</w:t>
      </w:r>
      <w:r>
        <w:rPr>
          <w:rFonts w:hint="eastAsia" w:ascii="Times New Roman" w:hAnsi="Times New Roman" w:eastAsia="仿宋_GB2312" w:cs="Times New Roman"/>
          <w:sz w:val="32"/>
          <w:szCs w:val="32"/>
        </w:rPr>
        <w:t>方向和政策支持</w:t>
      </w:r>
      <w:r>
        <w:rPr>
          <w:rFonts w:ascii="Times New Roman" w:hAnsi="Times New Roman" w:eastAsia="仿宋_GB2312" w:cs="Times New Roman"/>
          <w:sz w:val="32"/>
          <w:szCs w:val="32"/>
        </w:rPr>
        <w:t>等方面进行规定。明确了促进产业集聚，构建先进装备制造业、战略性新兴产业、现代服务业融合发展的产业布局。建立项目准入、退出机制，编制产业发展目录，对鼓励发展类项目给予支持和便利。强调了鼓励产学研合作和人才培养。</w:t>
      </w:r>
    </w:p>
    <w:p>
      <w:pPr>
        <w:spacing w:line="52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w:t>
      </w:r>
      <w:r>
        <w:rPr>
          <w:rFonts w:ascii="楷体_GB2312" w:hAnsi="楷体_GB2312" w:eastAsia="楷体_GB2312" w:cs="楷体_GB2312"/>
          <w:b/>
          <w:bCs/>
          <w:sz w:val="32"/>
          <w:szCs w:val="32"/>
        </w:rPr>
        <w:t>关于营商环境</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第五章强调了营商环境建设。明确建立市场化、法治化、国际化营商环境，强调园区发展环境，保护市场主体平等发展，注重人才引进和劳动保护。</w:t>
      </w:r>
    </w:p>
    <w:p>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ascii="Times New Roman" w:hAnsi="Times New Roman" w:eastAsia="仿宋" w:cs="Times New Roman"/>
          <w:sz w:val="32"/>
          <w:szCs w:val="32"/>
        </w:rPr>
        <w:t xml:space="preserve">                                                                                                                                                                                                </w:t>
      </w:r>
    </w:p>
    <w:sectPr>
      <w:footerReference r:id="rId3" w:type="default"/>
      <w:footerReference r:id="rId4" w:type="even"/>
      <w:pgSz w:w="11900" w:h="16840"/>
      <w:pgMar w:top="1985" w:right="1531" w:bottom="1985" w:left="153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E9A771-CF45-4FC8-9C78-D909A24EFE9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ngXian">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2" w:fontKey="{C50473A0-187E-41FA-B7C5-87895F79E9F9}"/>
  </w:font>
  <w:font w:name="仿宋_GB2312">
    <w:panose1 w:val="02010609030101010101"/>
    <w:charset w:val="86"/>
    <w:family w:val="modern"/>
    <w:pitch w:val="default"/>
    <w:sig w:usb0="00000001" w:usb1="080E0000" w:usb2="00000000" w:usb3="00000000" w:csb0="00040000" w:csb1="00000000"/>
    <w:embedRegular r:id="rId3" w:fontKey="{DF50821E-1E90-4FE9-8445-AA5586DBC8F7}"/>
  </w:font>
  <w:font w:name="楷体_GB2312">
    <w:panose1 w:val="02010609030101010101"/>
    <w:charset w:val="86"/>
    <w:family w:val="modern"/>
    <w:pitch w:val="default"/>
    <w:sig w:usb0="00000001" w:usb1="080E0000" w:usb2="00000000" w:usb3="00000000" w:csb0="00040000" w:csb1="00000000"/>
    <w:embedRegular r:id="rId4" w:fontKey="{13B3DB51-86F4-452A-9218-6B41E046E0B3}"/>
  </w:font>
  <w:font w:name="仿宋">
    <w:panose1 w:val="02010609060101010101"/>
    <w:charset w:val="86"/>
    <w:family w:val="modern"/>
    <w:pitch w:val="default"/>
    <w:sig w:usb0="800002BF" w:usb1="38CF7CFA" w:usb2="00000016" w:usb3="00000000" w:csb0="00040001" w:csb1="00000000"/>
    <w:embedRegular r:id="rId5" w:fontKey="{3ABF3BA9-CD6C-48A1-9933-E992C5D80D22}"/>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97203"/>
    </w:sdtPr>
    <w:sdtContent>
      <w:p>
        <w:pPr>
          <w:pStyle w:val="3"/>
          <w:jc w:val="right"/>
        </w:pP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1</w:t>
        </w:r>
        <w:r>
          <w:rPr>
            <w:rFonts w:ascii="仿宋" w:hAnsi="仿宋" w:eastAsia="仿宋"/>
            <w:sz w:val="28"/>
            <w:szCs w:val="28"/>
          </w:rPr>
          <w:fldChar w:fldCharType="end"/>
        </w:r>
        <w:r>
          <w:rPr>
            <w:rFonts w:hint="eastAsia" w:ascii="仿宋" w:hAnsi="仿宋" w:eastAsia="仿宋"/>
            <w:sz w:val="28"/>
            <w:szCs w:val="28"/>
          </w:rPr>
          <w:t xml:space="preserve"> </w:t>
        </w:r>
        <w:r>
          <w:rPr>
            <w:rFonts w:ascii="仿宋" w:hAnsi="仿宋" w:eastAsia="仿宋"/>
            <w:sz w:val="28"/>
            <w:szCs w:val="28"/>
          </w:rPr>
          <w:t>—</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997204"/>
    </w:sdtPr>
    <w:sdtContent>
      <w:p>
        <w:pPr>
          <w:pStyle w:val="3"/>
        </w:pP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2</w:t>
        </w:r>
        <w:r>
          <w:rPr>
            <w:rFonts w:ascii="仿宋" w:hAnsi="仿宋" w:eastAsia="仿宋"/>
            <w:sz w:val="28"/>
            <w:szCs w:val="28"/>
          </w:rPr>
          <w:fldChar w:fldCharType="end"/>
        </w:r>
        <w:r>
          <w:rPr>
            <w:rFonts w:hint="eastAsia" w:ascii="仿宋" w:hAnsi="仿宋" w:eastAsia="仿宋"/>
            <w:sz w:val="28"/>
            <w:szCs w:val="28"/>
          </w:rPr>
          <w:t xml:space="preserve"> </w:t>
        </w:r>
        <w:r>
          <w:rPr>
            <w:rFonts w:ascii="仿宋" w:hAnsi="仿宋" w:eastAsia="仿宋"/>
            <w:sz w:val="28"/>
            <w:szCs w:val="28"/>
          </w:rPr>
          <w:t>—</w:t>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evenAndOddHeaders w:val="1"/>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YzI2Mjk2ZWUyYTc2MWM5MTdhZjVhNzNhNjVlYzUifQ=="/>
  </w:docVars>
  <w:rsids>
    <w:rsidRoot w:val="000E20DA"/>
    <w:rsid w:val="0000403A"/>
    <w:rsid w:val="00011244"/>
    <w:rsid w:val="00065384"/>
    <w:rsid w:val="00077175"/>
    <w:rsid w:val="00096FCC"/>
    <w:rsid w:val="000A26BC"/>
    <w:rsid w:val="000D04F2"/>
    <w:rsid w:val="000E20DA"/>
    <w:rsid w:val="000E3FB8"/>
    <w:rsid w:val="0010420B"/>
    <w:rsid w:val="00110057"/>
    <w:rsid w:val="00113AAC"/>
    <w:rsid w:val="00166248"/>
    <w:rsid w:val="00176AE1"/>
    <w:rsid w:val="001D244A"/>
    <w:rsid w:val="001D4B6A"/>
    <w:rsid w:val="0020440D"/>
    <w:rsid w:val="00207B09"/>
    <w:rsid w:val="00207D54"/>
    <w:rsid w:val="00227DD3"/>
    <w:rsid w:val="00237618"/>
    <w:rsid w:val="0024754C"/>
    <w:rsid w:val="00283CF9"/>
    <w:rsid w:val="00295717"/>
    <w:rsid w:val="002A6DBB"/>
    <w:rsid w:val="002F45E1"/>
    <w:rsid w:val="003031D7"/>
    <w:rsid w:val="00314A47"/>
    <w:rsid w:val="0032155A"/>
    <w:rsid w:val="00324838"/>
    <w:rsid w:val="003322E6"/>
    <w:rsid w:val="00383840"/>
    <w:rsid w:val="0039611F"/>
    <w:rsid w:val="00396914"/>
    <w:rsid w:val="003D7442"/>
    <w:rsid w:val="004201B1"/>
    <w:rsid w:val="00435FE7"/>
    <w:rsid w:val="00476472"/>
    <w:rsid w:val="004F150A"/>
    <w:rsid w:val="005263BD"/>
    <w:rsid w:val="0053075B"/>
    <w:rsid w:val="00553543"/>
    <w:rsid w:val="00564C49"/>
    <w:rsid w:val="00564F93"/>
    <w:rsid w:val="00593765"/>
    <w:rsid w:val="00595709"/>
    <w:rsid w:val="005A2C4C"/>
    <w:rsid w:val="005A40BC"/>
    <w:rsid w:val="005C247C"/>
    <w:rsid w:val="005E3159"/>
    <w:rsid w:val="005E6064"/>
    <w:rsid w:val="006574B5"/>
    <w:rsid w:val="00657FCC"/>
    <w:rsid w:val="00665EC5"/>
    <w:rsid w:val="006968F7"/>
    <w:rsid w:val="006B0493"/>
    <w:rsid w:val="006B340F"/>
    <w:rsid w:val="006E781A"/>
    <w:rsid w:val="00745876"/>
    <w:rsid w:val="00764C63"/>
    <w:rsid w:val="00766932"/>
    <w:rsid w:val="00785C0C"/>
    <w:rsid w:val="00786C9B"/>
    <w:rsid w:val="00794BC5"/>
    <w:rsid w:val="007C67EE"/>
    <w:rsid w:val="00810778"/>
    <w:rsid w:val="008722BD"/>
    <w:rsid w:val="008A4FC6"/>
    <w:rsid w:val="008D6D92"/>
    <w:rsid w:val="008E6DCA"/>
    <w:rsid w:val="008F5D39"/>
    <w:rsid w:val="0090565E"/>
    <w:rsid w:val="00935CEB"/>
    <w:rsid w:val="00944E0F"/>
    <w:rsid w:val="009B7EC5"/>
    <w:rsid w:val="009C0D70"/>
    <w:rsid w:val="009C0E54"/>
    <w:rsid w:val="009C52F6"/>
    <w:rsid w:val="009D26E8"/>
    <w:rsid w:val="009E32CB"/>
    <w:rsid w:val="009F4E1F"/>
    <w:rsid w:val="009F6FFB"/>
    <w:rsid w:val="00A577A0"/>
    <w:rsid w:val="00A76222"/>
    <w:rsid w:val="00A846C3"/>
    <w:rsid w:val="00A86F9F"/>
    <w:rsid w:val="00AB4BEB"/>
    <w:rsid w:val="00AE3AED"/>
    <w:rsid w:val="00B145AD"/>
    <w:rsid w:val="00B27787"/>
    <w:rsid w:val="00B52780"/>
    <w:rsid w:val="00B74FF7"/>
    <w:rsid w:val="00B8428B"/>
    <w:rsid w:val="00BA0D68"/>
    <w:rsid w:val="00BA1D56"/>
    <w:rsid w:val="00BA61DE"/>
    <w:rsid w:val="00BC2A03"/>
    <w:rsid w:val="00C02903"/>
    <w:rsid w:val="00C1410E"/>
    <w:rsid w:val="00C87965"/>
    <w:rsid w:val="00CB75DC"/>
    <w:rsid w:val="00D057D3"/>
    <w:rsid w:val="00D56327"/>
    <w:rsid w:val="00D565E3"/>
    <w:rsid w:val="00D649C5"/>
    <w:rsid w:val="00D65CDE"/>
    <w:rsid w:val="00D84ACD"/>
    <w:rsid w:val="00DB5603"/>
    <w:rsid w:val="00DC111F"/>
    <w:rsid w:val="00DD7DF2"/>
    <w:rsid w:val="00DF059F"/>
    <w:rsid w:val="00E179EE"/>
    <w:rsid w:val="00E7700D"/>
    <w:rsid w:val="00E8702B"/>
    <w:rsid w:val="00EE0AD3"/>
    <w:rsid w:val="00EF59E5"/>
    <w:rsid w:val="00F43A81"/>
    <w:rsid w:val="00F532C6"/>
    <w:rsid w:val="00F56DDB"/>
    <w:rsid w:val="00F613B5"/>
    <w:rsid w:val="00F61B53"/>
    <w:rsid w:val="08A74FB5"/>
    <w:rsid w:val="191E74E6"/>
    <w:rsid w:val="1E294DD4"/>
    <w:rsid w:val="244E0C46"/>
    <w:rsid w:val="2C057196"/>
    <w:rsid w:val="32C732F5"/>
    <w:rsid w:val="3409432B"/>
    <w:rsid w:val="391A18F5"/>
    <w:rsid w:val="394E2E90"/>
    <w:rsid w:val="3F2D2E17"/>
    <w:rsid w:val="4BD97326"/>
    <w:rsid w:val="5F911D2C"/>
    <w:rsid w:val="78E3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2455</Words>
  <Characters>2522</Characters>
  <Lines>19</Lines>
  <Paragraphs>5</Paragraphs>
  <TotalTime>12</TotalTime>
  <ScaleCrop>false</ScaleCrop>
  <LinksUpToDate>false</LinksUpToDate>
  <CharactersWithSpaces>2769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2021-03-08T10:21:00Z</dcterms:created>
  <dc:creator>Microsoft Office 用户</dc:creator>
  <cp:lastModifiedBy>馨予</cp:lastModifiedBy>
  <cp:lastPrinted>2020-12-08T12:29:00Z</cp:lastPrinted>
  <dcterms:modified xsi:type="dcterms:W3CDTF">2022-11-24T05:52:18Z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DDF5D6E6FAC54D55A0E6CFB73F120530</vt:lpwstr>
  </property>
</Properties>
</file>