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方正小标宋简体" w:hAnsi="黑体" w:eastAsia="方正小标宋简体"/>
          <w:sz w:val="44"/>
          <w:szCs w:val="44"/>
        </w:rPr>
      </w:pPr>
      <w:r>
        <w:rPr>
          <w:rFonts w:hint="eastAsia" w:ascii="方正小标宋简体" w:hAnsi="黑体" w:eastAsia="方正小标宋简体"/>
          <w:sz w:val="44"/>
          <w:szCs w:val="44"/>
        </w:rPr>
        <w:t>大连金普新区财政局2022年度部门预算</w:t>
      </w:r>
    </w:p>
    <w:p>
      <w:pPr>
        <w:spacing w:line="220" w:lineRule="atLeast"/>
        <w:jc w:val="center"/>
        <w:rPr>
          <w:rFonts w:ascii="仿宋_GB2312" w:eastAsia="仿宋_GB2312"/>
          <w:sz w:val="32"/>
          <w:szCs w:val="32"/>
        </w:rPr>
      </w:pPr>
    </w:p>
    <w:p>
      <w:pPr>
        <w:spacing w:line="220" w:lineRule="atLeast"/>
        <w:jc w:val="center"/>
        <w:rPr>
          <w:rFonts w:ascii="方正小标宋简体" w:hAnsi="黑体" w:eastAsia="方正小标宋简体"/>
          <w:b/>
          <w:sz w:val="32"/>
          <w:szCs w:val="32"/>
        </w:rPr>
      </w:pPr>
      <w:r>
        <w:rPr>
          <w:rFonts w:hint="eastAsia" w:ascii="仿宋_GB2312" w:eastAsia="仿宋_GB2312"/>
          <w:b/>
          <w:sz w:val="32"/>
          <w:szCs w:val="32"/>
        </w:rPr>
        <w:t>目录</w:t>
      </w:r>
    </w:p>
    <w:p>
      <w:pPr>
        <w:adjustRightInd w:val="0"/>
        <w:snapToGrid w:val="0"/>
        <w:spacing w:line="220" w:lineRule="atLeast"/>
        <w:rPr>
          <w:rFonts w:ascii="黑体" w:hAnsi="黑体" w:eastAsia="黑体"/>
          <w:sz w:val="32"/>
          <w:szCs w:val="32"/>
        </w:rPr>
      </w:pPr>
    </w:p>
    <w:p>
      <w:pPr>
        <w:adjustRightInd w:val="0"/>
        <w:snapToGrid w:val="0"/>
        <w:spacing w:line="220" w:lineRule="atLeast"/>
        <w:rPr>
          <w:rFonts w:ascii="黑体" w:hAnsi="黑体" w:eastAsia="黑体"/>
          <w:sz w:val="32"/>
          <w:szCs w:val="32"/>
        </w:rPr>
      </w:pPr>
      <w:r>
        <w:rPr>
          <w:rFonts w:hint="eastAsia" w:ascii="黑体" w:hAnsi="黑体" w:eastAsia="黑体"/>
          <w:sz w:val="32"/>
          <w:szCs w:val="32"/>
        </w:rPr>
        <w:t xml:space="preserve">第一部分  </w:t>
      </w:r>
      <w:r>
        <w:rPr>
          <w:rFonts w:hint="eastAsia"/>
          <w:sz w:val="32"/>
          <w:szCs w:val="32"/>
        </w:rPr>
        <w:t xml:space="preserve"> </w:t>
      </w:r>
      <w:r>
        <w:rPr>
          <w:rFonts w:hint="eastAsia" w:ascii="黑体" w:hAnsi="黑体" w:eastAsia="黑体"/>
          <w:sz w:val="32"/>
          <w:szCs w:val="32"/>
        </w:rPr>
        <w:t>金普新区财政局概况</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一、主要职责</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二、部门预算单位构成</w:t>
      </w:r>
    </w:p>
    <w:p>
      <w:pPr>
        <w:adjustRightInd w:val="0"/>
        <w:snapToGrid w:val="0"/>
        <w:spacing w:line="220" w:lineRule="atLeast"/>
        <w:rPr>
          <w:rFonts w:ascii="黑体" w:hAnsi="黑体" w:eastAsia="黑体"/>
          <w:sz w:val="32"/>
          <w:szCs w:val="32"/>
        </w:rPr>
      </w:pPr>
      <w:r>
        <w:rPr>
          <w:rFonts w:hint="eastAsia" w:ascii="黑体" w:hAnsi="黑体" w:eastAsia="黑体"/>
          <w:sz w:val="32"/>
          <w:szCs w:val="32"/>
        </w:rPr>
        <w:t>第二部分   金普新区财政局202</w:t>
      </w:r>
      <w:r>
        <w:rPr>
          <w:rFonts w:hint="eastAsia"/>
          <w:sz w:val="32"/>
          <w:szCs w:val="32"/>
        </w:rPr>
        <w:t>2</w:t>
      </w:r>
      <w:r>
        <w:rPr>
          <w:rFonts w:hint="eastAsia" w:ascii="黑体" w:hAnsi="黑体" w:eastAsia="黑体"/>
          <w:sz w:val="32"/>
          <w:szCs w:val="32"/>
        </w:rPr>
        <w:t>年部门预算表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一、收支预算总表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二、收入预算总表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三、支出预算总表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四、支出功能</w:t>
      </w:r>
      <w:r>
        <w:rPr>
          <w:rFonts w:ascii="仿宋_GB2312" w:eastAsia="仿宋_GB2312"/>
          <w:sz w:val="32"/>
          <w:szCs w:val="32"/>
        </w:rPr>
        <w:t>分类预算表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支出</w:t>
      </w:r>
      <w:r>
        <w:rPr>
          <w:rFonts w:ascii="仿宋_GB2312" w:eastAsia="仿宋_GB2312"/>
          <w:sz w:val="32"/>
          <w:szCs w:val="32"/>
        </w:rPr>
        <w:t>经济分类预算表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w:t>
      </w:r>
      <w:r>
        <w:rPr>
          <w:rFonts w:hint="eastAsia" w:ascii="仿宋_GB2312" w:eastAsia="仿宋_GB2312"/>
          <w:sz w:val="32"/>
          <w:szCs w:val="32"/>
        </w:rPr>
        <w:t>财政拨款预算总表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七、一般公共预算支出表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八、一般公共预算基本支出表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九、一般</w:t>
      </w:r>
      <w:r>
        <w:rPr>
          <w:rFonts w:ascii="仿宋_GB2312" w:eastAsia="仿宋_GB2312"/>
          <w:sz w:val="32"/>
          <w:szCs w:val="32"/>
        </w:rPr>
        <w:t>公共</w:t>
      </w:r>
      <w:r>
        <w:rPr>
          <w:rFonts w:hint="eastAsia" w:ascii="仿宋_GB2312" w:eastAsia="仿宋_GB2312"/>
          <w:sz w:val="32"/>
          <w:szCs w:val="32"/>
        </w:rPr>
        <w:t>预算“三公”经费支出预算表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十、政府性</w:t>
      </w:r>
      <w:r>
        <w:rPr>
          <w:rFonts w:ascii="仿宋_GB2312" w:eastAsia="仿宋_GB2312"/>
          <w:sz w:val="32"/>
          <w:szCs w:val="32"/>
        </w:rPr>
        <w:t>基金预算</w:t>
      </w:r>
      <w:r>
        <w:rPr>
          <w:rFonts w:hint="eastAsia" w:ascii="仿宋_GB2312" w:eastAsia="仿宋_GB2312"/>
          <w:sz w:val="32"/>
          <w:szCs w:val="32"/>
        </w:rPr>
        <w:t>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十一、国有资本</w:t>
      </w:r>
      <w:r>
        <w:rPr>
          <w:rFonts w:ascii="仿宋_GB2312" w:eastAsia="仿宋_GB2312"/>
          <w:sz w:val="32"/>
          <w:szCs w:val="32"/>
        </w:rPr>
        <w:t>经营预算支出表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十二</w:t>
      </w:r>
      <w:r>
        <w:rPr>
          <w:rFonts w:ascii="仿宋_GB2312" w:eastAsia="仿宋_GB2312"/>
          <w:sz w:val="32"/>
          <w:szCs w:val="32"/>
        </w:rPr>
        <w:t>、</w:t>
      </w:r>
      <w:r>
        <w:rPr>
          <w:rFonts w:hint="eastAsia" w:ascii="仿宋_GB2312" w:eastAsia="仿宋_GB2312"/>
          <w:sz w:val="32"/>
          <w:szCs w:val="32"/>
        </w:rPr>
        <w:t>项目支出表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十三、</w:t>
      </w:r>
      <w:r>
        <w:rPr>
          <w:rFonts w:ascii="仿宋_GB2312" w:eastAsia="仿宋_GB2312"/>
          <w:sz w:val="32"/>
          <w:szCs w:val="32"/>
        </w:rPr>
        <w:t>政府采购预算表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十四</w:t>
      </w:r>
      <w:r>
        <w:rPr>
          <w:rFonts w:ascii="仿宋_GB2312" w:eastAsia="仿宋_GB2312"/>
          <w:sz w:val="32"/>
          <w:szCs w:val="32"/>
        </w:rPr>
        <w:t>、政府购买服务预算表</w:t>
      </w:r>
    </w:p>
    <w:p>
      <w:pPr>
        <w:adjustRightInd w:val="0"/>
        <w:snapToGrid w:val="0"/>
        <w:spacing w:line="220" w:lineRule="atLeast"/>
        <w:rPr>
          <w:rFonts w:ascii="黑体" w:hAnsi="黑体" w:eastAsia="黑体"/>
          <w:sz w:val="32"/>
          <w:szCs w:val="32"/>
        </w:rPr>
      </w:pPr>
      <w:r>
        <w:rPr>
          <w:rFonts w:hint="eastAsia" w:ascii="黑体" w:hAnsi="黑体" w:eastAsia="黑体"/>
          <w:sz w:val="32"/>
          <w:szCs w:val="32"/>
        </w:rPr>
        <w:t>第三部分   金普新区财政局</w:t>
      </w:r>
      <w:r>
        <w:rPr>
          <w:rFonts w:hint="eastAsia"/>
          <w:sz w:val="32"/>
          <w:szCs w:val="32"/>
        </w:rPr>
        <w:t>2022</w:t>
      </w:r>
      <w:r>
        <w:rPr>
          <w:rFonts w:hint="eastAsia" w:ascii="黑体" w:hAnsi="黑体" w:eastAsia="黑体"/>
          <w:sz w:val="32"/>
          <w:szCs w:val="32"/>
        </w:rPr>
        <w:t>年部门预算情况说明</w:t>
      </w:r>
    </w:p>
    <w:p>
      <w:pPr>
        <w:adjustRightInd w:val="0"/>
        <w:snapToGrid w:val="0"/>
        <w:spacing w:line="220" w:lineRule="atLeast"/>
        <w:rPr>
          <w:rFonts w:ascii="黑体" w:hAnsi="黑体" w:eastAsia="黑体"/>
          <w:sz w:val="32"/>
          <w:szCs w:val="32"/>
        </w:rPr>
      </w:pPr>
      <w:r>
        <w:rPr>
          <w:rFonts w:hint="eastAsia" w:ascii="黑体" w:hAnsi="黑体" w:eastAsia="黑体"/>
          <w:sz w:val="32"/>
          <w:szCs w:val="32"/>
        </w:rPr>
        <w:t>第四部分   名词解释</w:t>
      </w:r>
    </w:p>
    <w:p>
      <w:pPr>
        <w:rPr>
          <w:rFonts w:ascii="仿宋_GB2312" w:eastAsia="仿宋_GB2312"/>
          <w:sz w:val="32"/>
          <w:szCs w:val="32"/>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r>
        <w:rPr>
          <w:rFonts w:hint="eastAsia" w:ascii="楷体_GB2312" w:eastAsia="楷体_GB2312"/>
          <w:sz w:val="44"/>
          <w:szCs w:val="44"/>
        </w:rPr>
        <w:t xml:space="preserve">第一部分  </w:t>
      </w:r>
    </w:p>
    <w:p>
      <w:pPr>
        <w:jc w:val="center"/>
        <w:rPr>
          <w:rFonts w:ascii="楷体_GB2312" w:eastAsia="楷体_GB2312"/>
          <w:sz w:val="44"/>
          <w:szCs w:val="44"/>
        </w:rPr>
      </w:pPr>
      <w:r>
        <w:rPr>
          <w:rFonts w:hint="eastAsia" w:ascii="楷体_GB2312" w:eastAsia="楷体_GB2312"/>
          <w:sz w:val="44"/>
          <w:szCs w:val="44"/>
        </w:rPr>
        <w:t>金普新区财政局概况</w:t>
      </w:r>
    </w:p>
    <w:p>
      <w:pPr>
        <w:adjustRightInd w:val="0"/>
        <w:snapToGrid w:val="0"/>
        <w:spacing w:line="220" w:lineRule="atLeast"/>
        <w:ind w:firstLine="640" w:firstLineChars="200"/>
        <w:rPr>
          <w:rFonts w:ascii="仿宋_GB2312" w:eastAsia="仿宋_GB2312"/>
          <w:sz w:val="32"/>
          <w:szCs w:val="32"/>
        </w:rPr>
      </w:pPr>
    </w:p>
    <w:p>
      <w:pPr>
        <w:adjustRightInd w:val="0"/>
        <w:snapToGrid w:val="0"/>
        <w:spacing w:line="220" w:lineRule="atLeast"/>
        <w:ind w:firstLine="640" w:firstLineChars="200"/>
        <w:rPr>
          <w:rFonts w:ascii="黑体" w:hAnsi="黑体" w:eastAsia="黑体"/>
          <w:sz w:val="32"/>
          <w:szCs w:val="32"/>
        </w:rPr>
      </w:pPr>
      <w:r>
        <w:rPr>
          <w:rFonts w:hint="eastAsia" w:ascii="黑体" w:hAnsi="黑体" w:eastAsia="黑体"/>
          <w:sz w:val="32"/>
          <w:szCs w:val="32"/>
        </w:rPr>
        <w:t>一、主要职责</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一）贯彻执行国家、省市财税方针政策，拟订区财税规划、政策和改革方案并组织实施，分析预测经济形势，提出运用财税政策实施宏观调控和综合平衡社会财力的建议，拟定区与区以下分配政策，完善鼓励公益事业发展的财税政策。</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（二）研究我区经济社会中的财税重大问题，围绕区委、区政府中心工作提出改进和完善政府管理、提高财政资金使用效益的建议。</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（三）统筹管理区本级一般公共预算、政府性基金预</w:t>
      </w:r>
    </w:p>
    <w:p>
      <w:pPr>
        <w:widowControl/>
        <w:spacing w:line="600" w:lineRule="exact"/>
        <w:rPr>
          <w:rFonts w:ascii="仿宋_GB2312" w:hAnsi="仿宋" w:eastAsia="仿宋_GB2312"/>
          <w:kern w:val="0"/>
          <w:sz w:val="32"/>
          <w:szCs w:val="32"/>
        </w:rPr>
      </w:pPr>
      <w:r>
        <w:rPr>
          <w:rFonts w:hint="eastAsia" w:ascii="仿宋_GB2312" w:hAnsi="仿宋" w:eastAsia="仿宋_GB2312"/>
          <w:kern w:val="0"/>
          <w:sz w:val="32"/>
          <w:szCs w:val="32"/>
        </w:rPr>
        <w:t>算、国有资本经营预算、社会保险基金预算，负责组织编制区本级一般公共预算、政府性基金预算、国有资本经营预算。</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四）承担区本级各项财政收支管理的责任并指导功能区财政管理工作，负责编制年度区本级预算草案并组织执行，受区政府委托，向区人民代表大会报告区本级和全区年度财政预算及其执行情况，向区人大常委会报告财政决算和财政预算执行情况，组织制定经费开支标准、定额，负责审核批复部门或单位的年度预决算，完善转移支付制度，指导区以下财政管理工作。</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（五）贯彻执行国家、省市税收法律、行政法规及有关政策，负责政府非税收入管理，按规定管理行政事业性收费、政府性基金及其他非税收入，管理财政票据。</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（六）组织制定全区财政国库管理和国库集中收付制度，指导和监督全区财政国库业务，按规定管理国库现金。</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（七）负责制定政府采购制度，监督管理政府采购活动，组织制定政府向社会力量购买服务制度，监督政府向社会力量购买服务活动。</w:t>
      </w:r>
    </w:p>
    <w:p>
      <w:pPr>
        <w:widowControl/>
        <w:spacing w:line="600" w:lineRule="exact"/>
        <w:ind w:firstLine="624" w:firstLineChars="200"/>
        <w:rPr>
          <w:rFonts w:ascii="仿宋_GB2312" w:hAnsi="仿宋" w:eastAsia="仿宋_GB2312"/>
          <w:spacing w:val="-4"/>
          <w:kern w:val="0"/>
          <w:sz w:val="32"/>
          <w:szCs w:val="32"/>
        </w:rPr>
      </w:pPr>
      <w:r>
        <w:rPr>
          <w:rFonts w:hint="eastAsia" w:ascii="仿宋_GB2312" w:hAnsi="仿宋" w:eastAsia="仿宋_GB2312"/>
          <w:spacing w:val="-4"/>
          <w:kern w:val="0"/>
          <w:sz w:val="32"/>
          <w:szCs w:val="32"/>
        </w:rPr>
        <w:t>（八）负责制定全区行政事业单位国有资产管理的规章制度及相关标准并组织实施，参与国有资产管理体制改革等相关工作，对区级国有资本经营预算建议草案进行初审，按规定管理金融类国有企业财务会计报告的汇总工作。</w:t>
      </w:r>
    </w:p>
    <w:p>
      <w:pPr>
        <w:widowControl/>
        <w:spacing w:line="600" w:lineRule="exact"/>
        <w:rPr>
          <w:rFonts w:ascii="仿宋_GB2312" w:hAnsi="仿宋" w:eastAsia="仿宋_GB2312"/>
          <w:kern w:val="0"/>
          <w:sz w:val="32"/>
          <w:szCs w:val="32"/>
        </w:rPr>
      </w:pPr>
      <w:r>
        <w:rPr>
          <w:rFonts w:hint="eastAsia" w:ascii="仿宋_GB2312" w:hAnsi="仿宋" w:eastAsia="仿宋_GB2312"/>
          <w:kern w:val="0"/>
          <w:sz w:val="32"/>
          <w:szCs w:val="32"/>
        </w:rPr>
        <w:t>负责区本级行政事业单位因公出国（境）经费管理。</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九）负责办理和监督财政的经济发展支出，中央、省市和区政府性投资项目的财政拨款，负责政府性投资基本建设财政财务管理，拟订区建设投资财务管理的有关政策，负责有关政策性补贴和专项储备资金财政管理工作，组织审查财政性投资工程预算、竣工决算、资产移交，负责农业综合开发资金管理工作。</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（十）负责研究全区社会保障资金（基金）的财务管理制度，审核全区及区本级社会保险基金预决算草案，会同有关部门管理区财政社会保障和就业及卫生健康等支出。</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十一）贯彻执行国家、省政府债务及与政府相关的债务管理政策、制度，拟定全区政府性债务管理制度、办法并组织实施，监督管理全区政府性债务及与政府相关的债务，按规定管理国际金融组织和外国政府贷（赠）款，参与涉外债务谈判。</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（十二）组织贯彻执行国家、省市会计法律、法规及管理制度。</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（十三）组织监督检查财税法规、政策的执行情况，提出加强财政管理的政策建议。加强财政内部控制体系建设，承担会计信息质量检查，依法查处违法违规行为。</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（十四）研究制定区金融业发展规划和政策措施，优</w:t>
      </w:r>
    </w:p>
    <w:p>
      <w:pPr>
        <w:widowControl/>
        <w:spacing w:line="600" w:lineRule="exact"/>
        <w:rPr>
          <w:rFonts w:ascii="仿宋_GB2312" w:hAnsi="仿宋" w:eastAsia="仿宋_GB2312"/>
          <w:kern w:val="0"/>
          <w:sz w:val="32"/>
          <w:szCs w:val="32"/>
        </w:rPr>
      </w:pPr>
      <w:r>
        <w:rPr>
          <w:rFonts w:hint="eastAsia" w:ascii="仿宋_GB2312" w:hAnsi="仿宋" w:eastAsia="仿宋_GB2312"/>
          <w:kern w:val="0"/>
          <w:sz w:val="32"/>
          <w:szCs w:val="32"/>
        </w:rPr>
        <w:t>化金融发展环境，推动区金融业发展；依据有关规定，对地方金融机构进行监督、指导，防范金融风险，维护金融稳定。</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十五）贯彻落实国家、省市政府关于处置非法集资的方针政策和工作要求，执行区处置非法集资工作领导小组的工作部署，负责区处置非法集资工作的统筹协调、信息汇总、数据统计和情况通报等工作，指导各相关部门、功能区、街道各司其职、落实举措，推动建立区处置非法集资的长效机制。</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（十六）组织实施预算绩效管理，将政府收支预算、部门和单位预算、政策和项目纳入绩效管理，构建预算绩效管理体系，实现预算和绩效管理一体化。</w:t>
      </w:r>
    </w:p>
    <w:p>
      <w:pPr>
        <w:widowControl/>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（十七）完成区委、区政府交办的其他任务。</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二、部门预算单位构成</w:t>
      </w:r>
    </w:p>
    <w:p>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color w:val="000000"/>
          <w:sz w:val="32"/>
          <w:szCs w:val="32"/>
        </w:rPr>
        <w:t>金普新区财政局部门预算是金普新区财政局本部综合收支计划，</w:t>
      </w:r>
      <w:r>
        <w:rPr>
          <w:rFonts w:hint="eastAsia" w:ascii="仿宋_GB2312" w:hAnsi="仿宋_GB2312" w:eastAsia="仿宋_GB2312" w:cs="仿宋_GB2312"/>
          <w:sz w:val="32"/>
          <w:szCs w:val="32"/>
        </w:rPr>
        <w:t>部门中，行政单位1家，事业单位</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家，无二级单位。</w:t>
      </w:r>
    </w:p>
    <w:p>
      <w:pPr>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纳入</w:t>
      </w:r>
      <w:r>
        <w:rPr>
          <w:rFonts w:ascii="仿宋_GB2312" w:hAnsi="宋体" w:eastAsia="仿宋_GB2312"/>
          <w:color w:val="000000"/>
          <w:sz w:val="32"/>
          <w:szCs w:val="32"/>
        </w:rPr>
        <w:t>202</w:t>
      </w:r>
      <w:r>
        <w:rPr>
          <w:rFonts w:hint="eastAsia" w:ascii="仿宋_GB2312" w:hAnsi="宋体" w:eastAsia="仿宋_GB2312"/>
          <w:color w:val="000000"/>
          <w:sz w:val="32"/>
          <w:szCs w:val="32"/>
        </w:rPr>
        <w:t>2年度部门预算编制范围的内设机构包括：办公室、预算科、国库科、绩效与监督科、行政事业科、产业发展科、农业科、基建科、金融科、资产管理科10个科室。</w:t>
      </w:r>
    </w:p>
    <w:p>
      <w:pPr>
        <w:ind w:firstLine="880" w:firstLineChars="200"/>
        <w:jc w:val="center"/>
        <w:rPr>
          <w:rFonts w:ascii="仿宋_GB2312" w:hAnsi="仿宋_GB2312" w:eastAsia="仿宋_GB2312" w:cs="仿宋_GB2312"/>
          <w:sz w:val="32"/>
          <w:szCs w:val="32"/>
        </w:rPr>
      </w:pPr>
      <w:r>
        <w:rPr>
          <w:rFonts w:eastAsia="楷体_GB2312"/>
          <w:sz w:val="44"/>
          <w:szCs w:val="44"/>
        </w:rPr>
        <w:br w:type="textWrapping"/>
      </w:r>
    </w:p>
    <w:p>
      <w:pPr>
        <w:jc w:val="center"/>
        <w:rPr>
          <w:rFonts w:ascii="楷体_GB2312" w:eastAsia="楷体_GB2312"/>
          <w:sz w:val="44"/>
          <w:szCs w:val="44"/>
        </w:rPr>
      </w:pPr>
      <w:r>
        <w:rPr>
          <w:rFonts w:hint="eastAsia" w:ascii="楷体_GB2312" w:eastAsia="楷体_GB2312"/>
          <w:sz w:val="44"/>
          <w:szCs w:val="44"/>
        </w:rPr>
        <w:t xml:space="preserve">第二部分   </w:t>
      </w:r>
    </w:p>
    <w:p>
      <w:pPr>
        <w:jc w:val="center"/>
        <w:rPr>
          <w:rFonts w:ascii="楷体_GB2312" w:eastAsia="楷体_GB2312"/>
          <w:sz w:val="44"/>
          <w:szCs w:val="44"/>
        </w:rPr>
      </w:pPr>
      <w:r>
        <w:rPr>
          <w:rFonts w:hint="eastAsia" w:ascii="楷体_GB2312" w:eastAsia="楷体_GB2312"/>
          <w:sz w:val="44"/>
          <w:szCs w:val="44"/>
        </w:rPr>
        <w:t>金普新区财政局</w:t>
      </w:r>
      <w:r>
        <w:rPr>
          <w:rFonts w:hint="eastAsia"/>
          <w:sz w:val="44"/>
          <w:szCs w:val="44"/>
        </w:rPr>
        <w:t>2022</w:t>
      </w:r>
      <w:r>
        <w:rPr>
          <w:rFonts w:hint="eastAsia" w:ascii="楷体_GB2312" w:eastAsia="楷体_GB2312"/>
          <w:sz w:val="44"/>
          <w:szCs w:val="44"/>
        </w:rPr>
        <w:t>年部门预算表</w:t>
      </w:r>
    </w:p>
    <w:p>
      <w:pPr>
        <w:jc w:val="center"/>
        <w:rPr>
          <w:rFonts w:ascii="仿宋_GB2312" w:eastAsia="仿宋_GB2312"/>
          <w:sz w:val="32"/>
          <w:szCs w:val="32"/>
        </w:rPr>
      </w:pPr>
      <w:r>
        <w:rPr>
          <w:rFonts w:hint="eastAsia" w:ascii="仿宋_GB2312" w:eastAsia="仿宋_GB2312"/>
          <w:sz w:val="32"/>
          <w:szCs w:val="32"/>
        </w:rPr>
        <w:t>（详见附件）</w:t>
      </w:r>
    </w:p>
    <w:p>
      <w:pPr>
        <w:adjustRightInd w:val="0"/>
        <w:snapToGrid w:val="0"/>
        <w:spacing w:line="220" w:lineRule="atLeast"/>
        <w:rPr>
          <w:rFonts w:ascii="仿宋_GB2312" w:eastAsia="仿宋_GB2312"/>
          <w:sz w:val="32"/>
          <w:szCs w:val="32"/>
        </w:rPr>
      </w:pP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一、收支预算总表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二、收入预算总表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三、支出预算总表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四、支出功能</w:t>
      </w:r>
      <w:r>
        <w:rPr>
          <w:rFonts w:ascii="仿宋_GB2312" w:eastAsia="仿宋_GB2312"/>
          <w:sz w:val="32"/>
          <w:szCs w:val="32"/>
        </w:rPr>
        <w:t>分类预算表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支出</w:t>
      </w:r>
      <w:r>
        <w:rPr>
          <w:rFonts w:ascii="仿宋_GB2312" w:eastAsia="仿宋_GB2312"/>
          <w:sz w:val="32"/>
          <w:szCs w:val="32"/>
        </w:rPr>
        <w:t>经济分类预算表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w:t>
      </w:r>
      <w:r>
        <w:rPr>
          <w:rFonts w:hint="eastAsia" w:ascii="仿宋_GB2312" w:eastAsia="仿宋_GB2312"/>
          <w:sz w:val="32"/>
          <w:szCs w:val="32"/>
        </w:rPr>
        <w:t>财政拨款预算总表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七、一般公共预算支出表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八、一般公共预算基本支出表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九、一般</w:t>
      </w:r>
      <w:r>
        <w:rPr>
          <w:rFonts w:ascii="仿宋_GB2312" w:eastAsia="仿宋_GB2312"/>
          <w:sz w:val="32"/>
          <w:szCs w:val="32"/>
        </w:rPr>
        <w:t>公共</w:t>
      </w:r>
      <w:r>
        <w:rPr>
          <w:rFonts w:hint="eastAsia" w:ascii="仿宋_GB2312" w:eastAsia="仿宋_GB2312"/>
          <w:sz w:val="32"/>
          <w:szCs w:val="32"/>
        </w:rPr>
        <w:t>预算“三公”经费支出预算表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十、政府性</w:t>
      </w:r>
      <w:r>
        <w:rPr>
          <w:rFonts w:ascii="仿宋_GB2312" w:eastAsia="仿宋_GB2312"/>
          <w:sz w:val="32"/>
          <w:szCs w:val="32"/>
        </w:rPr>
        <w:t>基金预算</w:t>
      </w:r>
      <w:r>
        <w:rPr>
          <w:rFonts w:hint="eastAsia" w:ascii="仿宋_GB2312" w:eastAsia="仿宋_GB2312"/>
          <w:sz w:val="32"/>
          <w:szCs w:val="32"/>
        </w:rPr>
        <w:t>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十一、国有资本</w:t>
      </w:r>
      <w:r>
        <w:rPr>
          <w:rFonts w:ascii="仿宋_GB2312" w:eastAsia="仿宋_GB2312"/>
          <w:sz w:val="32"/>
          <w:szCs w:val="32"/>
        </w:rPr>
        <w:t>经营预算支出表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十二</w:t>
      </w:r>
      <w:r>
        <w:rPr>
          <w:rFonts w:ascii="仿宋_GB2312" w:eastAsia="仿宋_GB2312"/>
          <w:sz w:val="32"/>
          <w:szCs w:val="32"/>
        </w:rPr>
        <w:t>、</w:t>
      </w:r>
      <w:r>
        <w:rPr>
          <w:rFonts w:hint="eastAsia" w:ascii="仿宋_GB2312" w:eastAsia="仿宋_GB2312"/>
          <w:sz w:val="32"/>
          <w:szCs w:val="32"/>
        </w:rPr>
        <w:t>项目支出表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十三、</w:t>
      </w:r>
      <w:r>
        <w:rPr>
          <w:rFonts w:ascii="仿宋_GB2312" w:eastAsia="仿宋_GB2312"/>
          <w:sz w:val="32"/>
          <w:szCs w:val="32"/>
        </w:rPr>
        <w:t>政府采购预算表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十四</w:t>
      </w:r>
      <w:r>
        <w:rPr>
          <w:rFonts w:ascii="仿宋_GB2312" w:eastAsia="仿宋_GB2312"/>
          <w:sz w:val="32"/>
          <w:szCs w:val="32"/>
        </w:rPr>
        <w:t>、政府购买服务预算表</w:t>
      </w: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r>
        <w:rPr>
          <w:rFonts w:hint="eastAsia" w:ascii="楷体_GB2312" w:eastAsia="楷体_GB2312"/>
          <w:sz w:val="44"/>
          <w:szCs w:val="44"/>
        </w:rPr>
        <w:t xml:space="preserve">第三部分   </w:t>
      </w:r>
    </w:p>
    <w:p>
      <w:pPr>
        <w:jc w:val="center"/>
        <w:rPr>
          <w:rFonts w:ascii="楷体_GB2312" w:eastAsia="楷体_GB2312"/>
          <w:sz w:val="44"/>
          <w:szCs w:val="44"/>
        </w:rPr>
      </w:pPr>
      <w:r>
        <w:rPr>
          <w:rFonts w:hint="eastAsia" w:ascii="楷体_GB2312" w:eastAsia="楷体_GB2312"/>
          <w:sz w:val="44"/>
          <w:szCs w:val="44"/>
        </w:rPr>
        <w:t>金普新区财政局</w:t>
      </w:r>
      <w:r>
        <w:rPr>
          <w:rFonts w:hint="eastAsia"/>
          <w:sz w:val="44"/>
          <w:szCs w:val="44"/>
        </w:rPr>
        <w:t>2022</w:t>
      </w:r>
      <w:r>
        <w:rPr>
          <w:rFonts w:hint="eastAsia" w:ascii="楷体_GB2312" w:eastAsia="楷体_GB2312"/>
          <w:sz w:val="44"/>
          <w:szCs w:val="44"/>
        </w:rPr>
        <w:t>年部门预算情况说明</w:t>
      </w:r>
    </w:p>
    <w:p>
      <w:pPr>
        <w:ind w:firstLine="643" w:firstLineChars="200"/>
        <w:rPr>
          <w:rFonts w:ascii="仿宋_GB2312" w:eastAsia="仿宋_GB2312"/>
          <w:b/>
          <w:sz w:val="32"/>
          <w:szCs w:val="32"/>
        </w:rPr>
      </w:pPr>
    </w:p>
    <w:p>
      <w:pPr>
        <w:ind w:firstLine="640" w:firstLineChars="200"/>
        <w:rPr>
          <w:rFonts w:ascii="黑体" w:hAnsi="黑体" w:eastAsia="黑体"/>
          <w:sz w:val="32"/>
          <w:szCs w:val="32"/>
        </w:rPr>
      </w:pPr>
      <w:r>
        <w:rPr>
          <w:rFonts w:hint="eastAsia" w:ascii="黑体" w:hAnsi="黑体" w:eastAsia="黑体"/>
          <w:sz w:val="32"/>
          <w:szCs w:val="32"/>
        </w:rPr>
        <w:t>一、2022年部门收支预算情况</w:t>
      </w:r>
    </w:p>
    <w:p>
      <w:pPr>
        <w:ind w:firstLine="640" w:firstLineChars="200"/>
        <w:rPr>
          <w:rFonts w:ascii="宋体" w:hAnsi="宋体" w:cs="宋体"/>
          <w:kern w:val="0"/>
          <w:sz w:val="22"/>
          <w:szCs w:val="22"/>
        </w:rPr>
      </w:pPr>
      <w:r>
        <w:rPr>
          <w:rFonts w:hint="eastAsia" w:ascii="仿宋_GB2312" w:hAnsi="宋体" w:eastAsia="仿宋_GB2312"/>
          <w:color w:val="000000"/>
          <w:sz w:val="32"/>
          <w:szCs w:val="32"/>
        </w:rPr>
        <w:t>2022年收入预算2,535.49万元，比2021年增加62.89万元。其中：一般公共预算拨款收入2,535.49万元，政府性基金预算拨款收入</w:t>
      </w:r>
      <w:r>
        <w:rPr>
          <w:rFonts w:hint="eastAsia" w:ascii="仿宋_GB2312" w:eastAsia="仿宋_GB2312"/>
          <w:sz w:val="32"/>
          <w:szCs w:val="32"/>
        </w:rPr>
        <w:t>0</w:t>
      </w:r>
      <w:r>
        <w:rPr>
          <w:rFonts w:hint="eastAsia" w:ascii="仿宋_GB2312" w:hAnsi="宋体" w:eastAsia="仿宋_GB2312"/>
          <w:color w:val="000000"/>
          <w:sz w:val="32"/>
          <w:szCs w:val="32"/>
        </w:rPr>
        <w:t>万元，国有资本经营预算拨款收入</w:t>
      </w:r>
      <w:r>
        <w:rPr>
          <w:rFonts w:hint="eastAsia" w:ascii="仿宋_GB2312" w:eastAsia="仿宋_GB2312"/>
          <w:sz w:val="32"/>
          <w:szCs w:val="32"/>
        </w:rPr>
        <w:t>0</w:t>
      </w:r>
      <w:r>
        <w:rPr>
          <w:rFonts w:hint="eastAsia" w:ascii="仿宋_GB2312" w:hAnsi="宋体" w:eastAsia="仿宋_GB2312"/>
          <w:color w:val="000000"/>
          <w:sz w:val="32"/>
          <w:szCs w:val="32"/>
        </w:rPr>
        <w:t>万元，财政专户管理资金收入</w:t>
      </w:r>
      <w:r>
        <w:rPr>
          <w:rFonts w:hint="eastAsia" w:ascii="仿宋_GB2312" w:eastAsia="仿宋_GB2312"/>
          <w:sz w:val="32"/>
          <w:szCs w:val="32"/>
        </w:rPr>
        <w:t>0</w:t>
      </w:r>
      <w:r>
        <w:rPr>
          <w:rFonts w:hint="eastAsia" w:ascii="仿宋_GB2312" w:hAnsi="宋体" w:eastAsia="仿宋_GB2312"/>
          <w:color w:val="000000"/>
          <w:sz w:val="32"/>
          <w:szCs w:val="32"/>
        </w:rPr>
        <w:t>万元，事业收入</w:t>
      </w:r>
      <w:r>
        <w:rPr>
          <w:rFonts w:hint="eastAsia" w:ascii="仿宋_GB2312" w:eastAsia="仿宋_GB2312"/>
          <w:sz w:val="32"/>
          <w:szCs w:val="32"/>
        </w:rPr>
        <w:t>0</w:t>
      </w:r>
      <w:r>
        <w:rPr>
          <w:rFonts w:hint="eastAsia" w:ascii="仿宋_GB2312" w:hAnsi="宋体" w:eastAsia="仿宋_GB2312"/>
          <w:color w:val="000000"/>
          <w:sz w:val="32"/>
          <w:szCs w:val="32"/>
        </w:rPr>
        <w:t>万元，上级补助收入</w:t>
      </w:r>
      <w:r>
        <w:rPr>
          <w:rFonts w:hint="eastAsia" w:ascii="仿宋_GB2312" w:eastAsia="仿宋_GB2312"/>
          <w:sz w:val="32"/>
          <w:szCs w:val="32"/>
        </w:rPr>
        <w:t>0</w:t>
      </w:r>
      <w:r>
        <w:rPr>
          <w:rFonts w:hint="eastAsia" w:ascii="仿宋_GB2312" w:hAnsi="宋体" w:eastAsia="仿宋_GB2312"/>
          <w:color w:val="000000"/>
          <w:sz w:val="32"/>
          <w:szCs w:val="32"/>
        </w:rPr>
        <w:t>万元，附属单位上缴收入</w:t>
      </w:r>
      <w:r>
        <w:rPr>
          <w:rFonts w:hint="eastAsia" w:ascii="仿宋_GB2312" w:eastAsia="仿宋_GB2312"/>
          <w:sz w:val="32"/>
          <w:szCs w:val="32"/>
        </w:rPr>
        <w:t>0</w:t>
      </w:r>
      <w:r>
        <w:rPr>
          <w:rFonts w:hint="eastAsia" w:ascii="仿宋_GB2312" w:hAnsi="宋体" w:eastAsia="仿宋_GB2312"/>
          <w:color w:val="000000"/>
          <w:sz w:val="32"/>
          <w:szCs w:val="32"/>
        </w:rPr>
        <w:t>万元，事业单位经营收入</w:t>
      </w:r>
      <w:r>
        <w:rPr>
          <w:rFonts w:hint="eastAsia" w:ascii="仿宋_GB2312" w:eastAsia="仿宋_GB2312"/>
          <w:sz w:val="32"/>
          <w:szCs w:val="32"/>
        </w:rPr>
        <w:t>0</w:t>
      </w:r>
      <w:r>
        <w:rPr>
          <w:rFonts w:hint="eastAsia" w:ascii="仿宋_GB2312" w:hAnsi="宋体" w:eastAsia="仿宋_GB2312"/>
          <w:color w:val="000000"/>
          <w:sz w:val="32"/>
          <w:szCs w:val="32"/>
        </w:rPr>
        <w:t>万元, 其他收入</w:t>
      </w:r>
      <w:r>
        <w:rPr>
          <w:rFonts w:hint="eastAsia" w:ascii="仿宋_GB2312" w:eastAsia="仿宋_GB2312"/>
          <w:sz w:val="32"/>
          <w:szCs w:val="32"/>
        </w:rPr>
        <w:t>0</w:t>
      </w:r>
      <w:r>
        <w:rPr>
          <w:rFonts w:hint="eastAsia" w:ascii="仿宋_GB2312" w:hAnsi="宋体" w:eastAsia="仿宋_GB2312"/>
          <w:color w:val="000000"/>
          <w:sz w:val="32"/>
          <w:szCs w:val="32"/>
        </w:rPr>
        <w:t>万元, 上年结转结余</w:t>
      </w:r>
      <w:r>
        <w:rPr>
          <w:rFonts w:hint="eastAsia" w:ascii="仿宋_GB2312" w:eastAsia="仿宋_GB2312"/>
          <w:sz w:val="32"/>
          <w:szCs w:val="32"/>
        </w:rPr>
        <w:t>0</w:t>
      </w:r>
      <w:r>
        <w:rPr>
          <w:rFonts w:hint="eastAsia" w:ascii="仿宋_GB2312" w:hAnsi="宋体" w:eastAsia="仿宋_GB2312"/>
          <w:color w:val="000000"/>
          <w:sz w:val="32"/>
          <w:szCs w:val="32"/>
        </w:rPr>
        <w:t>万元。</w:t>
      </w:r>
    </w:p>
    <w:p>
      <w:pPr>
        <w:ind w:firstLine="660"/>
        <w:rPr>
          <w:rFonts w:ascii="仿宋_GB2312" w:hAnsi="宋体" w:eastAsia="仿宋_GB2312"/>
          <w:color w:val="000000"/>
          <w:sz w:val="32"/>
          <w:szCs w:val="32"/>
        </w:rPr>
      </w:pPr>
      <w:r>
        <w:rPr>
          <w:rFonts w:hint="eastAsia" w:ascii="仿宋_GB2312" w:hAnsi="宋体" w:eastAsia="仿宋_GB2312"/>
          <w:color w:val="000000"/>
          <w:sz w:val="32"/>
          <w:szCs w:val="32"/>
        </w:rPr>
        <w:t>2022年支出预算2,535.49万元，比2021年增加62.89万元。其中：人员经费</w:t>
      </w:r>
      <w:r>
        <w:rPr>
          <w:rFonts w:ascii="仿宋_GB2312" w:eastAsia="仿宋_GB2312"/>
          <w:sz w:val="32"/>
          <w:szCs w:val="32"/>
        </w:rPr>
        <w:t>804.11</w:t>
      </w:r>
      <w:r>
        <w:rPr>
          <w:rFonts w:hint="eastAsia" w:ascii="仿宋_GB2312" w:hAnsi="宋体" w:eastAsia="仿宋_GB2312"/>
          <w:color w:val="000000"/>
          <w:sz w:val="32"/>
          <w:szCs w:val="32"/>
        </w:rPr>
        <w:t>万元，公用经费</w:t>
      </w:r>
      <w:r>
        <w:rPr>
          <w:rFonts w:ascii="仿宋_GB2312" w:eastAsia="仿宋_GB2312"/>
          <w:sz w:val="32"/>
          <w:szCs w:val="32"/>
        </w:rPr>
        <w:t>403.88</w:t>
      </w:r>
      <w:r>
        <w:rPr>
          <w:rFonts w:hint="eastAsia" w:ascii="仿宋_GB2312" w:hAnsi="宋体" w:eastAsia="仿宋_GB2312"/>
          <w:color w:val="000000"/>
          <w:sz w:val="32"/>
          <w:szCs w:val="32"/>
        </w:rPr>
        <w:t>万元，部门预算项目经费</w:t>
      </w:r>
      <w:r>
        <w:rPr>
          <w:rFonts w:ascii="仿宋_GB2312" w:hAnsi="宋体" w:eastAsia="仿宋_GB2312"/>
          <w:color w:val="000000"/>
          <w:sz w:val="32"/>
          <w:szCs w:val="32"/>
        </w:rPr>
        <w:t>1</w:t>
      </w:r>
      <w:r>
        <w:rPr>
          <w:rFonts w:hint="eastAsia" w:ascii="仿宋_GB2312" w:hAnsi="宋体" w:eastAsia="仿宋_GB2312"/>
          <w:color w:val="000000"/>
          <w:sz w:val="32"/>
          <w:szCs w:val="32"/>
        </w:rPr>
        <w:t>,</w:t>
      </w:r>
      <w:r>
        <w:rPr>
          <w:rFonts w:ascii="仿宋_GB2312" w:hAnsi="宋体" w:eastAsia="仿宋_GB2312"/>
          <w:color w:val="000000"/>
          <w:sz w:val="32"/>
          <w:szCs w:val="32"/>
        </w:rPr>
        <w:t>327.51</w:t>
      </w:r>
      <w:r>
        <w:rPr>
          <w:rFonts w:hint="eastAsia" w:ascii="仿宋_GB2312" w:hAnsi="宋体" w:eastAsia="仿宋_GB2312"/>
          <w:color w:val="000000"/>
          <w:sz w:val="32"/>
          <w:szCs w:val="32"/>
        </w:rPr>
        <w:t>万元，本年</w:t>
      </w:r>
      <w:r>
        <w:rPr>
          <w:rFonts w:ascii="仿宋_GB2312" w:hAnsi="宋体" w:eastAsia="仿宋_GB2312"/>
          <w:color w:val="000000"/>
          <w:sz w:val="32"/>
          <w:szCs w:val="32"/>
        </w:rPr>
        <w:t>预留</w:t>
      </w:r>
      <w:r>
        <w:rPr>
          <w:rFonts w:hint="eastAsia" w:ascii="仿宋_GB2312" w:hAnsi="宋体" w:eastAsia="仿宋_GB2312"/>
          <w:color w:val="000000"/>
          <w:sz w:val="32"/>
          <w:szCs w:val="32"/>
        </w:rPr>
        <w:t>项目经费</w:t>
      </w:r>
      <w:r>
        <w:rPr>
          <w:rFonts w:hint="eastAsia" w:ascii="仿宋_GB2312" w:eastAsia="仿宋_GB2312"/>
          <w:sz w:val="32"/>
          <w:szCs w:val="32"/>
        </w:rPr>
        <w:t>0</w:t>
      </w:r>
      <w:r>
        <w:rPr>
          <w:rFonts w:hint="eastAsia" w:ascii="仿宋_GB2312" w:hAnsi="宋体" w:eastAsia="仿宋_GB2312"/>
          <w:color w:val="000000"/>
          <w:sz w:val="32"/>
          <w:szCs w:val="32"/>
        </w:rPr>
        <w:t>万元。</w:t>
      </w:r>
    </w:p>
    <w:p>
      <w:pPr>
        <w:ind w:firstLine="660"/>
        <w:rPr>
          <w:rFonts w:ascii="仿宋_GB2312" w:hAnsi="宋体" w:eastAsia="仿宋_GB2312"/>
          <w:color w:val="000000"/>
          <w:sz w:val="32"/>
          <w:szCs w:val="32"/>
        </w:rPr>
      </w:pPr>
      <w:r>
        <w:rPr>
          <w:rFonts w:hint="eastAsia" w:ascii="仿宋_GB2312" w:hAnsi="宋体" w:eastAsia="仿宋_GB2312"/>
          <w:color w:val="000000"/>
          <w:sz w:val="32"/>
          <w:szCs w:val="32"/>
        </w:rPr>
        <w:t>年终结转</w:t>
      </w:r>
      <w:r>
        <w:rPr>
          <w:rFonts w:ascii="仿宋_GB2312" w:hAnsi="宋体" w:eastAsia="仿宋_GB2312"/>
          <w:color w:val="000000"/>
          <w:sz w:val="32"/>
          <w:szCs w:val="32"/>
        </w:rPr>
        <w:t>结余</w:t>
      </w:r>
      <w:r>
        <w:rPr>
          <w:rFonts w:hint="eastAsia" w:ascii="仿宋_GB2312" w:eastAsia="仿宋_GB2312"/>
          <w:sz w:val="32"/>
          <w:szCs w:val="32"/>
        </w:rPr>
        <w:t>0</w:t>
      </w:r>
      <w:r>
        <w:rPr>
          <w:rFonts w:hint="eastAsia" w:ascii="仿宋_GB2312" w:hAnsi="宋体" w:eastAsia="仿宋_GB2312"/>
          <w:color w:val="000000"/>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二、2022年财政拨款收支预算情况</w:t>
      </w:r>
    </w:p>
    <w:p>
      <w:pPr>
        <w:ind w:firstLine="660"/>
        <w:rPr>
          <w:rFonts w:ascii="仿宋_GB2312" w:hAnsi="宋体" w:eastAsia="仿宋_GB2312"/>
          <w:color w:val="000000"/>
          <w:sz w:val="32"/>
          <w:szCs w:val="32"/>
        </w:rPr>
      </w:pPr>
      <w:r>
        <w:rPr>
          <w:rFonts w:hint="eastAsia" w:ascii="仿宋_GB2312" w:hAnsi="宋体" w:eastAsia="仿宋_GB2312"/>
          <w:color w:val="000000"/>
          <w:sz w:val="32"/>
          <w:szCs w:val="32"/>
        </w:rPr>
        <w:t>2022年财政拨款收入预算</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535.49</w:t>
      </w:r>
      <w:r>
        <w:rPr>
          <w:rFonts w:hint="eastAsia" w:ascii="仿宋_GB2312" w:hAnsi="宋体" w:eastAsia="仿宋_GB2312"/>
          <w:color w:val="000000"/>
          <w:sz w:val="32"/>
          <w:szCs w:val="32"/>
        </w:rPr>
        <w:t>万元，比2021年增加62.89万元。其中：一般公共预算收入</w:t>
      </w: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535.49</w:t>
      </w:r>
      <w:r>
        <w:rPr>
          <w:rFonts w:hint="eastAsia" w:ascii="仿宋_GB2312" w:hAnsi="宋体" w:eastAsia="仿宋_GB2312"/>
          <w:color w:val="000000"/>
          <w:sz w:val="32"/>
          <w:szCs w:val="32"/>
        </w:rPr>
        <w:t>万元，政府性基金收入</w:t>
      </w:r>
      <w:r>
        <w:rPr>
          <w:rFonts w:hint="eastAsia" w:ascii="仿宋_GB2312" w:eastAsia="仿宋_GB2312"/>
          <w:color w:val="000000"/>
          <w:sz w:val="32"/>
          <w:szCs w:val="32"/>
        </w:rPr>
        <w:t>0</w:t>
      </w:r>
      <w:r>
        <w:rPr>
          <w:rFonts w:hint="eastAsia" w:ascii="仿宋_GB2312" w:hAnsi="宋体" w:eastAsia="仿宋_GB2312"/>
          <w:color w:val="000000"/>
          <w:sz w:val="32"/>
          <w:szCs w:val="32"/>
        </w:rPr>
        <w:t>万元，国有资本经营预算收入</w:t>
      </w:r>
      <w:r>
        <w:rPr>
          <w:rFonts w:hint="eastAsia" w:ascii="仿宋_GB2312" w:eastAsia="仿宋_GB2312"/>
          <w:color w:val="000000"/>
          <w:sz w:val="32"/>
          <w:szCs w:val="32"/>
        </w:rPr>
        <w:t>0</w:t>
      </w:r>
      <w:r>
        <w:rPr>
          <w:rFonts w:hint="eastAsia" w:ascii="仿宋_GB2312" w:hAnsi="宋体" w:eastAsia="仿宋_GB2312"/>
          <w:color w:val="000000"/>
          <w:sz w:val="32"/>
          <w:szCs w:val="32"/>
        </w:rPr>
        <w:t>万元。</w:t>
      </w:r>
    </w:p>
    <w:p>
      <w:pPr>
        <w:ind w:firstLine="660"/>
        <w:rPr>
          <w:rFonts w:ascii="仿宋_GB2312" w:hAnsi="宋体" w:eastAsia="仿宋_GB2312"/>
          <w:color w:val="000000"/>
          <w:sz w:val="32"/>
          <w:szCs w:val="32"/>
        </w:rPr>
      </w:pPr>
      <w:r>
        <w:rPr>
          <w:rFonts w:hint="eastAsia" w:ascii="仿宋_GB2312" w:hAnsi="宋体" w:eastAsia="仿宋_GB2312"/>
          <w:color w:val="000000"/>
          <w:sz w:val="32"/>
          <w:szCs w:val="32"/>
        </w:rPr>
        <w:t>2022年财政拨款支出预算</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535.49</w:t>
      </w:r>
      <w:r>
        <w:rPr>
          <w:rFonts w:hint="eastAsia" w:ascii="仿宋_GB2312" w:hAnsi="宋体" w:eastAsia="仿宋_GB2312"/>
          <w:color w:val="000000"/>
          <w:sz w:val="32"/>
          <w:szCs w:val="32"/>
        </w:rPr>
        <w:t>万元，比2021年增加62.89万元。按照“人员经费按实际，公用经费按定额，项目经费按需要与可能”的原则编制。其中：人员经费</w:t>
      </w:r>
      <w:r>
        <w:rPr>
          <w:rFonts w:ascii="仿宋_GB2312" w:eastAsia="仿宋_GB2312"/>
          <w:sz w:val="32"/>
          <w:szCs w:val="32"/>
        </w:rPr>
        <w:t>804.11</w:t>
      </w:r>
      <w:r>
        <w:rPr>
          <w:rFonts w:hint="eastAsia" w:ascii="仿宋_GB2312" w:hAnsi="宋体" w:eastAsia="仿宋_GB2312"/>
          <w:color w:val="000000"/>
          <w:sz w:val="32"/>
          <w:szCs w:val="32"/>
        </w:rPr>
        <w:t>万元，公用经费</w:t>
      </w:r>
      <w:r>
        <w:rPr>
          <w:rFonts w:ascii="仿宋_GB2312" w:eastAsia="仿宋_GB2312"/>
          <w:sz w:val="32"/>
          <w:szCs w:val="32"/>
        </w:rPr>
        <w:t>403.88</w:t>
      </w:r>
      <w:r>
        <w:rPr>
          <w:rFonts w:hint="eastAsia" w:ascii="仿宋_GB2312" w:hAnsi="宋体" w:eastAsia="仿宋_GB2312"/>
          <w:color w:val="000000"/>
          <w:sz w:val="32"/>
          <w:szCs w:val="32"/>
        </w:rPr>
        <w:t>万元，部门预算项目经费</w:t>
      </w:r>
      <w:r>
        <w:rPr>
          <w:rFonts w:ascii="仿宋_GB2312" w:hAnsi="宋体" w:eastAsia="仿宋_GB2312"/>
          <w:color w:val="000000"/>
          <w:sz w:val="32"/>
          <w:szCs w:val="32"/>
        </w:rPr>
        <w:t>1</w:t>
      </w:r>
      <w:r>
        <w:rPr>
          <w:rFonts w:hint="eastAsia" w:ascii="仿宋_GB2312" w:hAnsi="宋体" w:eastAsia="仿宋_GB2312"/>
          <w:color w:val="000000"/>
          <w:sz w:val="32"/>
          <w:szCs w:val="32"/>
        </w:rPr>
        <w:t>,</w:t>
      </w:r>
      <w:r>
        <w:rPr>
          <w:rFonts w:ascii="仿宋_GB2312" w:hAnsi="宋体" w:eastAsia="仿宋_GB2312"/>
          <w:color w:val="000000"/>
          <w:sz w:val="32"/>
          <w:szCs w:val="32"/>
        </w:rPr>
        <w:t>327.51</w:t>
      </w:r>
      <w:r>
        <w:rPr>
          <w:rFonts w:hint="eastAsia" w:ascii="仿宋_GB2312" w:hAnsi="宋体" w:eastAsia="仿宋_GB2312"/>
          <w:color w:val="000000"/>
          <w:sz w:val="32"/>
          <w:szCs w:val="32"/>
        </w:rPr>
        <w:t>万元，本年</w:t>
      </w:r>
      <w:r>
        <w:rPr>
          <w:rFonts w:ascii="仿宋_GB2312" w:hAnsi="宋体" w:eastAsia="仿宋_GB2312"/>
          <w:color w:val="000000"/>
          <w:sz w:val="32"/>
          <w:szCs w:val="32"/>
        </w:rPr>
        <w:t>预留</w:t>
      </w:r>
      <w:r>
        <w:rPr>
          <w:rFonts w:hint="eastAsia" w:ascii="仿宋_GB2312" w:hAnsi="宋体" w:eastAsia="仿宋_GB2312"/>
          <w:color w:val="000000"/>
          <w:sz w:val="32"/>
          <w:szCs w:val="32"/>
        </w:rPr>
        <w:t>项目经费</w:t>
      </w:r>
      <w:r>
        <w:rPr>
          <w:rFonts w:hint="eastAsia" w:ascii="仿宋_GB2312" w:eastAsia="仿宋_GB2312"/>
          <w:sz w:val="32"/>
          <w:szCs w:val="32"/>
        </w:rPr>
        <w:t>0</w:t>
      </w:r>
      <w:r>
        <w:rPr>
          <w:rFonts w:hint="eastAsia" w:ascii="仿宋_GB2312" w:hAnsi="宋体" w:eastAsia="仿宋_GB2312"/>
          <w:color w:val="000000"/>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2022年一般公共预算支出预算情况</w:t>
      </w:r>
    </w:p>
    <w:p>
      <w:pPr>
        <w:ind w:firstLine="643" w:firstLineChars="200"/>
        <w:outlineLvl w:val="0"/>
        <w:rPr>
          <w:rFonts w:ascii="楷体_GB2312" w:hAnsi="宋体" w:eastAsia="楷体_GB2312" w:cs="黑体"/>
          <w:b/>
          <w:color w:val="000000"/>
          <w:sz w:val="32"/>
          <w:szCs w:val="32"/>
        </w:rPr>
      </w:pPr>
      <w:r>
        <w:rPr>
          <w:rFonts w:hint="eastAsia" w:ascii="楷体_GB2312" w:hAnsi="宋体" w:eastAsia="楷体_GB2312" w:cs="黑体"/>
          <w:b/>
          <w:color w:val="000000"/>
          <w:sz w:val="32"/>
          <w:szCs w:val="32"/>
        </w:rPr>
        <w:t>（一）一般公共预算支出预算总体情况</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sz w:val="32"/>
          <w:szCs w:val="32"/>
        </w:rPr>
        <w:t>2022年一般公共预算支出预算</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535.49</w:t>
      </w:r>
      <w:r>
        <w:rPr>
          <w:rFonts w:hint="eastAsia" w:ascii="仿宋_GB2312" w:hAnsi="宋体" w:eastAsia="仿宋_GB2312"/>
          <w:color w:val="000000"/>
          <w:sz w:val="32"/>
          <w:szCs w:val="32"/>
        </w:rPr>
        <w:t>万元，占本年支出预算合计的100%。与2021年相比，一般公共预算支出预算增加62.89万元，增长2.5%。主要原因</w:t>
      </w:r>
      <w:r>
        <w:rPr>
          <w:rFonts w:hint="eastAsia" w:ascii="仿宋_GB2312" w:hAnsi="宋体" w:eastAsia="仿宋_GB2312"/>
          <w:color w:val="000000" w:themeColor="text1"/>
          <w:sz w:val="32"/>
          <w:szCs w:val="32"/>
        </w:rPr>
        <w:t>：项目支出经费增加。</w:t>
      </w:r>
    </w:p>
    <w:p>
      <w:pPr>
        <w:ind w:firstLine="643" w:firstLineChars="200"/>
        <w:outlineLvl w:val="0"/>
        <w:rPr>
          <w:rFonts w:ascii="楷体_GB2312" w:hAnsi="宋体" w:eastAsia="楷体_GB2312" w:cs="黑体"/>
          <w:b/>
          <w:color w:val="000000"/>
          <w:sz w:val="32"/>
          <w:szCs w:val="32"/>
        </w:rPr>
      </w:pPr>
      <w:r>
        <w:rPr>
          <w:rFonts w:hint="eastAsia" w:ascii="楷体_GB2312" w:hAnsi="宋体" w:eastAsia="楷体_GB2312" w:cs="黑体"/>
          <w:b/>
          <w:color w:val="000000"/>
          <w:sz w:val="32"/>
          <w:szCs w:val="32"/>
        </w:rPr>
        <w:t>（二）一般公共预算支出预算结构</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2022年一般公共预算支出预算</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535.49</w:t>
      </w:r>
      <w:r>
        <w:rPr>
          <w:rFonts w:hint="eastAsia" w:ascii="仿宋_GB2312" w:hAnsi="宋体" w:eastAsia="仿宋_GB2312"/>
          <w:color w:val="000000"/>
          <w:sz w:val="32"/>
          <w:szCs w:val="32"/>
        </w:rPr>
        <w:t>万元，主要用于以下方面：</w:t>
      </w:r>
    </w:p>
    <w:p>
      <w:pPr>
        <w:ind w:firstLine="640" w:firstLineChars="200"/>
        <w:rPr>
          <w:rFonts w:hint="default"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rPr>
        <w:t>1、一般公共服务支出（类）</w:t>
      </w:r>
      <w:r>
        <w:rPr>
          <w:rFonts w:ascii="仿宋_GB2312" w:hAnsi="宋体" w:eastAsia="仿宋_GB2312"/>
          <w:color w:val="000000"/>
          <w:sz w:val="32"/>
          <w:szCs w:val="32"/>
        </w:rPr>
        <w:t>2</w:t>
      </w:r>
      <w:r>
        <w:rPr>
          <w:rFonts w:hint="eastAsia" w:ascii="仿宋_GB2312" w:hAnsi="宋体" w:eastAsia="仿宋_GB2312"/>
          <w:color w:val="000000"/>
          <w:sz w:val="32"/>
          <w:szCs w:val="32"/>
        </w:rPr>
        <w:t>,</w:t>
      </w:r>
      <w:r>
        <w:rPr>
          <w:rFonts w:ascii="仿宋_GB2312" w:hAnsi="宋体" w:eastAsia="仿宋_GB2312"/>
          <w:color w:val="000000"/>
          <w:sz w:val="32"/>
          <w:szCs w:val="32"/>
        </w:rPr>
        <w:t>226.52</w:t>
      </w:r>
      <w:r>
        <w:rPr>
          <w:rFonts w:hint="eastAsia" w:ascii="仿宋_GB2312" w:hAnsi="宋体" w:eastAsia="仿宋_GB2312"/>
          <w:color w:val="000000"/>
          <w:sz w:val="32"/>
          <w:szCs w:val="32"/>
        </w:rPr>
        <w:t>万元，比2021年</w:t>
      </w:r>
      <w:r>
        <w:rPr>
          <w:rFonts w:ascii="仿宋_GB2312" w:hAnsi="宋体" w:eastAsia="仿宋_GB2312"/>
          <w:color w:val="000000"/>
          <w:sz w:val="32"/>
          <w:szCs w:val="32"/>
        </w:rPr>
        <w:t>预算</w:t>
      </w:r>
      <w:r>
        <w:rPr>
          <w:rFonts w:hint="eastAsia" w:ascii="仿宋_GB2312" w:hAnsi="宋体" w:eastAsia="仿宋_GB2312"/>
          <w:color w:val="000000"/>
          <w:sz w:val="32"/>
          <w:szCs w:val="32"/>
        </w:rPr>
        <w:t>增加52.07万元，增长2</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4</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，主要原因是：项目支出增加。</w:t>
      </w:r>
    </w:p>
    <w:p>
      <w:pPr>
        <w:ind w:firstLine="640" w:firstLineChars="200"/>
        <w:rPr>
          <w:rFonts w:ascii="仿宋_GB2312" w:hAnsi="宋体" w:eastAsia="仿宋_GB2312"/>
          <w:color w:val="000000"/>
          <w:sz w:val="32"/>
          <w:szCs w:val="32"/>
          <w:highlight w:val="none"/>
        </w:rPr>
      </w:pPr>
      <w:r>
        <w:rPr>
          <w:rFonts w:ascii="仿宋_GB2312" w:hAnsi="宋体" w:eastAsia="仿宋_GB2312"/>
          <w:color w:val="000000"/>
          <w:sz w:val="32"/>
          <w:szCs w:val="32"/>
          <w:highlight w:val="none"/>
        </w:rPr>
        <w:t>2</w:t>
      </w:r>
      <w:r>
        <w:rPr>
          <w:rFonts w:hint="eastAsia" w:ascii="仿宋_GB2312" w:hAnsi="宋体" w:eastAsia="仿宋_GB2312"/>
          <w:color w:val="000000"/>
          <w:sz w:val="32"/>
          <w:szCs w:val="32"/>
          <w:highlight w:val="none"/>
        </w:rPr>
        <w:t>、社会保障和就业支出（类）</w:t>
      </w:r>
      <w:r>
        <w:rPr>
          <w:rFonts w:ascii="仿宋_GB2312" w:hAnsi="宋体" w:eastAsia="仿宋_GB2312"/>
          <w:color w:val="000000"/>
          <w:sz w:val="32"/>
          <w:szCs w:val="32"/>
          <w:highlight w:val="none"/>
        </w:rPr>
        <w:t>159.2</w:t>
      </w:r>
      <w:r>
        <w:rPr>
          <w:rFonts w:hint="eastAsia" w:ascii="仿宋_GB2312" w:hAnsi="宋体" w:eastAsia="仿宋_GB2312"/>
          <w:color w:val="000000"/>
          <w:sz w:val="32"/>
          <w:szCs w:val="32"/>
          <w:highlight w:val="none"/>
        </w:rPr>
        <w:t>万元，比2021年</w:t>
      </w:r>
      <w:r>
        <w:rPr>
          <w:rFonts w:ascii="仿宋_GB2312" w:hAnsi="宋体" w:eastAsia="仿宋_GB2312"/>
          <w:color w:val="000000"/>
          <w:sz w:val="32"/>
          <w:szCs w:val="32"/>
          <w:highlight w:val="none"/>
        </w:rPr>
        <w:t>预算</w:t>
      </w:r>
      <w:r>
        <w:rPr>
          <w:rFonts w:hint="eastAsia" w:ascii="仿宋_GB2312" w:hAnsi="宋体" w:eastAsia="仿宋_GB2312"/>
          <w:color w:val="000000"/>
          <w:sz w:val="32"/>
          <w:szCs w:val="32"/>
          <w:highlight w:val="none"/>
        </w:rPr>
        <w:t>增加30.34万元，增长23.5%</w:t>
      </w:r>
      <w:r>
        <w:rPr>
          <w:rFonts w:hint="eastAsia" w:ascii="仿宋_GB2312" w:hAnsi="宋体" w:eastAsia="仿宋_GB2312"/>
          <w:color w:val="000000"/>
          <w:sz w:val="32"/>
          <w:szCs w:val="32"/>
          <w:highlight w:val="none"/>
          <w:lang w:val="en-US" w:eastAsia="zh-CN"/>
        </w:rPr>
        <w:t>，主要原因是：退休人员非统筹养老金增加。</w:t>
      </w:r>
    </w:p>
    <w:p>
      <w:pPr>
        <w:ind w:firstLine="640" w:firstLineChars="200"/>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3、卫生健康支出（类）</w:t>
      </w:r>
      <w:r>
        <w:rPr>
          <w:rFonts w:ascii="仿宋_GB2312" w:hAnsi="宋体" w:eastAsia="仿宋_GB2312"/>
          <w:color w:val="000000"/>
          <w:sz w:val="32"/>
          <w:szCs w:val="32"/>
          <w:highlight w:val="none"/>
        </w:rPr>
        <w:t>69.61</w:t>
      </w:r>
      <w:r>
        <w:rPr>
          <w:rFonts w:hint="eastAsia" w:ascii="仿宋_GB2312" w:hAnsi="宋体" w:eastAsia="仿宋_GB2312"/>
          <w:color w:val="000000"/>
          <w:sz w:val="32"/>
          <w:szCs w:val="32"/>
          <w:highlight w:val="none"/>
        </w:rPr>
        <w:t>万元，比2021年</w:t>
      </w:r>
      <w:r>
        <w:rPr>
          <w:rFonts w:ascii="仿宋_GB2312" w:hAnsi="宋体" w:eastAsia="仿宋_GB2312"/>
          <w:color w:val="000000"/>
          <w:sz w:val="32"/>
          <w:szCs w:val="32"/>
          <w:highlight w:val="none"/>
        </w:rPr>
        <w:t>预算</w:t>
      </w:r>
      <w:r>
        <w:rPr>
          <w:rFonts w:hint="eastAsia" w:ascii="仿宋_GB2312" w:hAnsi="宋体" w:eastAsia="仿宋_GB2312"/>
          <w:color w:val="000000"/>
          <w:sz w:val="32"/>
          <w:szCs w:val="32"/>
          <w:highlight w:val="none"/>
        </w:rPr>
        <w:t>减少12.76万元，下降15.</w:t>
      </w:r>
      <w:r>
        <w:rPr>
          <w:rFonts w:hint="eastAsia" w:ascii="仿宋_GB2312" w:hAnsi="宋体" w:eastAsia="仿宋_GB2312"/>
          <w:color w:val="000000"/>
          <w:sz w:val="32"/>
          <w:szCs w:val="32"/>
          <w:highlight w:val="none"/>
          <w:lang w:val="en-US" w:eastAsia="zh-CN"/>
        </w:rPr>
        <w:t>5</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，主要原因是：人员减少</w:t>
      </w:r>
      <w:r>
        <w:rPr>
          <w:rFonts w:hint="eastAsia" w:ascii="仿宋_GB2312" w:hAnsi="宋体" w:eastAsia="仿宋_GB2312"/>
          <w:color w:val="000000"/>
          <w:sz w:val="32"/>
          <w:szCs w:val="32"/>
          <w:highlight w:val="none"/>
        </w:rPr>
        <w:t>。</w:t>
      </w:r>
    </w:p>
    <w:p>
      <w:pPr>
        <w:ind w:firstLine="640" w:firstLineChars="200"/>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4、住房保障支出（类）</w:t>
      </w:r>
      <w:r>
        <w:rPr>
          <w:rFonts w:ascii="仿宋_GB2312" w:hAnsi="宋体" w:eastAsia="仿宋_GB2312"/>
          <w:color w:val="000000"/>
          <w:sz w:val="32"/>
          <w:szCs w:val="32"/>
          <w:highlight w:val="none"/>
        </w:rPr>
        <w:t>80.15</w:t>
      </w:r>
      <w:r>
        <w:rPr>
          <w:rFonts w:hint="eastAsia" w:ascii="仿宋_GB2312" w:hAnsi="宋体" w:eastAsia="仿宋_GB2312"/>
          <w:color w:val="000000"/>
          <w:sz w:val="32"/>
          <w:szCs w:val="32"/>
          <w:highlight w:val="none"/>
        </w:rPr>
        <w:t>万元，比2021年</w:t>
      </w:r>
      <w:r>
        <w:rPr>
          <w:rFonts w:ascii="仿宋_GB2312" w:hAnsi="宋体" w:eastAsia="仿宋_GB2312"/>
          <w:color w:val="000000"/>
          <w:sz w:val="32"/>
          <w:szCs w:val="32"/>
          <w:highlight w:val="none"/>
        </w:rPr>
        <w:t>预算</w:t>
      </w:r>
      <w:r>
        <w:rPr>
          <w:rFonts w:hint="eastAsia" w:ascii="仿宋_GB2312" w:hAnsi="宋体" w:eastAsia="仿宋_GB2312"/>
          <w:color w:val="000000"/>
          <w:sz w:val="32"/>
          <w:szCs w:val="32"/>
          <w:highlight w:val="none"/>
        </w:rPr>
        <w:t>减少6.77万元，下降7.</w:t>
      </w:r>
      <w:r>
        <w:rPr>
          <w:rFonts w:hint="eastAsia" w:ascii="仿宋_GB2312" w:hAnsi="宋体" w:eastAsia="仿宋_GB2312"/>
          <w:color w:val="000000"/>
          <w:sz w:val="32"/>
          <w:szCs w:val="32"/>
          <w:highlight w:val="none"/>
          <w:lang w:val="en-US" w:eastAsia="zh-CN"/>
        </w:rPr>
        <w:t>8</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，主要原因是：人员减少</w:t>
      </w:r>
      <w:r>
        <w:rPr>
          <w:rFonts w:hint="eastAsia" w:ascii="仿宋_GB2312" w:hAnsi="宋体" w:eastAsia="仿宋_GB2312"/>
          <w:color w:val="000000"/>
          <w:sz w:val="32"/>
          <w:szCs w:val="32"/>
          <w:highlight w:val="none"/>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四、2022年一般公共预算基本支出预算情况</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highlight w:val="none"/>
        </w:rPr>
        <w:t>2022</w:t>
      </w:r>
      <w:r>
        <w:rPr>
          <w:rFonts w:hint="eastAsia" w:ascii="仿宋_GB2312" w:hAnsi="宋体" w:eastAsia="仿宋_GB2312"/>
          <w:color w:val="000000"/>
          <w:sz w:val="32"/>
          <w:szCs w:val="32"/>
          <w:highlight w:val="none"/>
        </w:rPr>
        <w:t>年一般公共预算基本支出预算</w:t>
      </w:r>
      <w:r>
        <w:rPr>
          <w:rFonts w:ascii="仿宋_GB2312" w:eastAsia="仿宋_GB2312"/>
          <w:sz w:val="32"/>
          <w:szCs w:val="32"/>
          <w:highlight w:val="none"/>
        </w:rPr>
        <w:t>1</w:t>
      </w:r>
      <w:r>
        <w:rPr>
          <w:rFonts w:hint="eastAsia" w:ascii="仿宋_GB2312" w:eastAsia="仿宋_GB2312"/>
          <w:sz w:val="32"/>
          <w:szCs w:val="32"/>
          <w:highlight w:val="none"/>
        </w:rPr>
        <w:t>,</w:t>
      </w:r>
      <w:r>
        <w:rPr>
          <w:rFonts w:ascii="仿宋_GB2312" w:eastAsia="仿宋_GB2312"/>
          <w:sz w:val="32"/>
          <w:szCs w:val="32"/>
          <w:highlight w:val="none"/>
        </w:rPr>
        <w:t>207.98</w:t>
      </w:r>
      <w:r>
        <w:rPr>
          <w:rFonts w:hint="eastAsia" w:ascii="仿宋_GB2312" w:hAnsi="宋体" w:eastAsia="仿宋_GB2312"/>
          <w:color w:val="000000"/>
          <w:sz w:val="32"/>
          <w:szCs w:val="32"/>
          <w:highlight w:val="none"/>
        </w:rPr>
        <w:t>万元，包括人员经</w:t>
      </w:r>
      <w:r>
        <w:rPr>
          <w:rFonts w:hint="eastAsia" w:ascii="仿宋_GB2312" w:hAnsi="宋体" w:eastAsia="仿宋_GB2312"/>
          <w:color w:val="000000"/>
          <w:sz w:val="32"/>
          <w:szCs w:val="32"/>
        </w:rPr>
        <w:t>费</w:t>
      </w:r>
      <w:r>
        <w:rPr>
          <w:rFonts w:ascii="仿宋_GB2312" w:eastAsia="仿宋_GB2312"/>
          <w:sz w:val="32"/>
          <w:szCs w:val="32"/>
        </w:rPr>
        <w:t>804.11</w:t>
      </w:r>
      <w:r>
        <w:rPr>
          <w:rFonts w:hint="eastAsia" w:ascii="仿宋_GB2312" w:hAnsi="宋体" w:eastAsia="仿宋_GB2312"/>
          <w:color w:val="000000"/>
          <w:sz w:val="32"/>
          <w:szCs w:val="32"/>
        </w:rPr>
        <w:t>万元，公用经费</w:t>
      </w:r>
      <w:r>
        <w:rPr>
          <w:rFonts w:ascii="仿宋_GB2312" w:eastAsia="仿宋_GB2312"/>
          <w:sz w:val="32"/>
          <w:szCs w:val="32"/>
        </w:rPr>
        <w:t>403.88</w:t>
      </w:r>
      <w:r>
        <w:rPr>
          <w:rFonts w:hint="eastAsia" w:ascii="仿宋_GB2312" w:hAnsi="宋体" w:eastAsia="仿宋_GB2312"/>
          <w:color w:val="000000"/>
          <w:sz w:val="32"/>
          <w:szCs w:val="32"/>
        </w:rPr>
        <w:t>万元。其中：</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1、工资福利支出</w:t>
      </w:r>
      <w:r>
        <w:rPr>
          <w:rFonts w:ascii="仿宋_GB2312" w:hAnsi="宋体" w:eastAsia="仿宋_GB2312"/>
          <w:color w:val="000000"/>
          <w:sz w:val="32"/>
          <w:szCs w:val="32"/>
        </w:rPr>
        <w:t>743.46</w:t>
      </w:r>
      <w:r>
        <w:rPr>
          <w:rFonts w:hint="eastAsia" w:ascii="仿宋_GB2312" w:hAnsi="宋体" w:eastAsia="仿宋_GB2312"/>
          <w:color w:val="000000"/>
          <w:sz w:val="32"/>
          <w:szCs w:val="32"/>
        </w:rPr>
        <w:t>万元，主要用于：基本工资、津贴补贴、奖金、机关事业单位基本养老保险缴费、职业年金缴费、职工基本医疗保险缴费、公务员医疗补助缴费、其他社会保障缴费、住房公积金等支出。</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2、商品和服务支出</w:t>
      </w:r>
      <w:r>
        <w:rPr>
          <w:rFonts w:ascii="仿宋_GB2312" w:hAnsi="宋体" w:eastAsia="仿宋_GB2312"/>
          <w:color w:val="000000"/>
          <w:sz w:val="32"/>
          <w:szCs w:val="32"/>
        </w:rPr>
        <w:t>403.88</w:t>
      </w:r>
      <w:r>
        <w:rPr>
          <w:rFonts w:hint="eastAsia" w:ascii="仿宋_GB2312" w:hAnsi="宋体" w:eastAsia="仿宋_GB2312"/>
          <w:color w:val="000000"/>
          <w:sz w:val="32"/>
          <w:szCs w:val="32"/>
        </w:rPr>
        <w:t>万元，主要用于：办公费、水费、电费、邮电费、取暖费、物业管理费、差旅费、公务接待费、工会经费、其他交通费用、其他商品和服务支出等支出。</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3、对个人和家庭的补助</w:t>
      </w:r>
      <w:r>
        <w:rPr>
          <w:rFonts w:ascii="仿宋_GB2312" w:hAnsi="宋体" w:eastAsia="仿宋_GB2312"/>
          <w:color w:val="000000"/>
          <w:sz w:val="32"/>
          <w:szCs w:val="32"/>
        </w:rPr>
        <w:t>60.65万元，主要用于：</w:t>
      </w:r>
      <w:r>
        <w:rPr>
          <w:rFonts w:hint="eastAsia" w:ascii="仿宋_GB2312" w:hAnsi="宋体" w:eastAsia="仿宋_GB2312"/>
          <w:color w:val="000000"/>
          <w:sz w:val="32"/>
          <w:szCs w:val="32"/>
        </w:rPr>
        <w:t>离休费、退休费、生活补助、奖励金等支出。</w:t>
      </w:r>
    </w:p>
    <w:p>
      <w:pPr>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“三公”经费预算</w:t>
      </w:r>
      <w:r>
        <w:rPr>
          <w:rFonts w:hint="eastAsia" w:ascii="黑体" w:hAnsi="黑体" w:eastAsia="黑体"/>
          <w:sz w:val="32"/>
          <w:szCs w:val="32"/>
        </w:rPr>
        <w:t>情况说明</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金普新区财政局</w:t>
      </w:r>
      <w:r>
        <w:rPr>
          <w:rFonts w:ascii="仿宋_GB2312" w:eastAsia="仿宋_GB2312"/>
          <w:color w:val="000000"/>
          <w:sz w:val="32"/>
          <w:szCs w:val="32"/>
        </w:rPr>
        <w:t>2022年“三公”经费财政拨款预算为</w:t>
      </w:r>
      <w:r>
        <w:rPr>
          <w:rFonts w:hint="eastAsia" w:ascii="仿宋_GB2312" w:eastAsia="仿宋_GB2312"/>
          <w:color w:val="000000"/>
          <w:sz w:val="32"/>
          <w:szCs w:val="32"/>
        </w:rPr>
        <w:t>2</w:t>
      </w:r>
      <w:r>
        <w:rPr>
          <w:rFonts w:ascii="仿宋_GB2312" w:eastAsia="仿宋_GB2312"/>
          <w:color w:val="000000"/>
          <w:sz w:val="32"/>
          <w:szCs w:val="32"/>
        </w:rPr>
        <w:t>万元，包括因公出国（境）费、公务接待费、公务用车购置及运行费，比2021年预算</w:t>
      </w:r>
      <w:r>
        <w:rPr>
          <w:rFonts w:hint="eastAsia" w:ascii="仿宋_GB2312" w:eastAsia="仿宋_GB2312"/>
          <w:color w:val="000000"/>
          <w:sz w:val="32"/>
          <w:szCs w:val="32"/>
        </w:rPr>
        <w:t>减少5.8</w:t>
      </w:r>
      <w:r>
        <w:rPr>
          <w:rFonts w:ascii="仿宋_GB2312" w:eastAsia="仿宋_GB2312"/>
          <w:color w:val="000000"/>
          <w:sz w:val="32"/>
          <w:szCs w:val="32"/>
        </w:rPr>
        <w:t xml:space="preserve">万元。其中： </w:t>
      </w:r>
    </w:p>
    <w:p>
      <w:pPr>
        <w:ind w:firstLine="640" w:firstLineChars="200"/>
        <w:rPr>
          <w:rFonts w:ascii="仿宋_GB2312" w:eastAsia="仿宋_GB2312"/>
          <w:color w:val="000000"/>
          <w:sz w:val="32"/>
          <w:szCs w:val="32"/>
        </w:rPr>
      </w:pPr>
      <w:r>
        <w:rPr>
          <w:rFonts w:ascii="仿宋_GB2312" w:eastAsia="仿宋_GB2312"/>
          <w:color w:val="000000"/>
          <w:sz w:val="32"/>
          <w:szCs w:val="32"/>
        </w:rPr>
        <w:t>因公出国（境）费预算</w:t>
      </w:r>
      <w:r>
        <w:rPr>
          <w:rFonts w:hint="eastAsia" w:ascii="仿宋_GB2312" w:eastAsia="仿宋_GB2312"/>
          <w:color w:val="000000"/>
          <w:sz w:val="32"/>
          <w:szCs w:val="32"/>
        </w:rPr>
        <w:t>0</w:t>
      </w:r>
      <w:r>
        <w:rPr>
          <w:rFonts w:ascii="仿宋_GB2312" w:eastAsia="仿宋_GB2312"/>
          <w:color w:val="000000"/>
          <w:sz w:val="32"/>
          <w:szCs w:val="32"/>
        </w:rPr>
        <w:t>万元，</w:t>
      </w:r>
      <w:r>
        <w:rPr>
          <w:rFonts w:eastAsia="仿宋_GB2312"/>
          <w:color w:val="000000"/>
          <w:sz w:val="32"/>
          <w:szCs w:val="32"/>
        </w:rPr>
        <w:t>主要安排本单位人员的国际合作交流、重大项目洽谈、境外培训研修等的国际旅费、国外城市间交通费、住宿费、伙食费、公杂费等支出。</w:t>
      </w:r>
      <w:r>
        <w:rPr>
          <w:rFonts w:hint="eastAsia" w:ascii="仿宋_GB2312" w:eastAsia="仿宋_GB2312"/>
          <w:color w:val="000000"/>
          <w:sz w:val="32"/>
          <w:szCs w:val="32"/>
        </w:rPr>
        <w:t>与</w:t>
      </w:r>
      <w:r>
        <w:rPr>
          <w:rFonts w:ascii="仿宋_GB2312" w:eastAsia="仿宋_GB2312"/>
          <w:color w:val="000000"/>
          <w:sz w:val="32"/>
          <w:szCs w:val="32"/>
        </w:rPr>
        <w:t>2021年</w:t>
      </w:r>
      <w:r>
        <w:rPr>
          <w:rFonts w:hint="eastAsia" w:ascii="仿宋_GB2312" w:eastAsia="仿宋_GB2312"/>
          <w:color w:val="000000"/>
          <w:sz w:val="32"/>
          <w:szCs w:val="32"/>
        </w:rPr>
        <w:t>相</w:t>
      </w:r>
      <w:r>
        <w:rPr>
          <w:rFonts w:ascii="仿宋_GB2312" w:eastAsia="仿宋_GB2312"/>
          <w:color w:val="000000"/>
          <w:sz w:val="32"/>
          <w:szCs w:val="32"/>
        </w:rPr>
        <w:t>比无变化</w:t>
      </w:r>
      <w:r>
        <w:rPr>
          <w:rFonts w:hint="eastAsia" w:ascii="仿宋_GB2312" w:eastAsia="仿宋_GB2312"/>
          <w:color w:val="000000"/>
          <w:sz w:val="32"/>
          <w:szCs w:val="32"/>
        </w:rPr>
        <w:t>，</w:t>
      </w:r>
      <w:r>
        <w:rPr>
          <w:rFonts w:eastAsia="仿宋_GB2312"/>
          <w:color w:val="000000"/>
          <w:sz w:val="32"/>
          <w:szCs w:val="32"/>
        </w:rPr>
        <w:t>本年度不需要申请</w:t>
      </w:r>
      <w:r>
        <w:rPr>
          <w:rFonts w:ascii="仿宋_GB2312" w:eastAsia="仿宋_GB2312"/>
          <w:color w:val="000000"/>
          <w:sz w:val="32"/>
          <w:szCs w:val="32"/>
        </w:rPr>
        <w:t>因公出国（境）费</w:t>
      </w:r>
      <w:r>
        <w:rPr>
          <w:rFonts w:hint="eastAsia" w:ascii="仿宋_GB2312" w:eastAsia="仿宋_GB2312"/>
          <w:color w:val="000000"/>
          <w:sz w:val="32"/>
          <w:szCs w:val="32"/>
        </w:rPr>
        <w:t>。</w:t>
      </w:r>
    </w:p>
    <w:p>
      <w:pPr>
        <w:ind w:firstLine="640" w:firstLineChars="200"/>
        <w:rPr>
          <w:rFonts w:eastAsia="仿宋_GB2312"/>
          <w:color w:val="000000"/>
          <w:sz w:val="32"/>
          <w:szCs w:val="32"/>
        </w:rPr>
      </w:pPr>
      <w:r>
        <w:rPr>
          <w:rFonts w:ascii="仿宋_GB2312" w:eastAsia="仿宋_GB2312"/>
          <w:color w:val="000000"/>
          <w:sz w:val="32"/>
          <w:szCs w:val="32"/>
        </w:rPr>
        <w:t>公务接待费预算</w:t>
      </w:r>
      <w:r>
        <w:rPr>
          <w:rFonts w:hint="eastAsia" w:ascii="仿宋_GB2312" w:eastAsia="仿宋_GB2312"/>
          <w:color w:val="000000"/>
          <w:sz w:val="32"/>
          <w:szCs w:val="32"/>
        </w:rPr>
        <w:t>2</w:t>
      </w:r>
      <w:r>
        <w:rPr>
          <w:rFonts w:ascii="仿宋_GB2312" w:eastAsia="仿宋_GB2312"/>
          <w:color w:val="000000"/>
          <w:sz w:val="32"/>
          <w:szCs w:val="32"/>
        </w:rPr>
        <w:t>万元，主要安排全国性专业会议、国家重大政策调研、专项检查以及外事团组接待交流等执行公务或开展业务所需住宿费、交通费、伙食费等支出。</w:t>
      </w:r>
      <w:r>
        <w:rPr>
          <w:rFonts w:hint="eastAsia" w:ascii="仿宋_GB2312" w:eastAsia="仿宋_GB2312"/>
          <w:color w:val="000000"/>
          <w:sz w:val="32"/>
          <w:szCs w:val="32"/>
        </w:rPr>
        <w:t>与</w:t>
      </w:r>
      <w:r>
        <w:rPr>
          <w:rFonts w:ascii="仿宋_GB2312" w:eastAsia="仿宋_GB2312"/>
          <w:color w:val="000000"/>
          <w:sz w:val="32"/>
          <w:szCs w:val="32"/>
        </w:rPr>
        <w:t>2021年预算</w:t>
      </w:r>
      <w:r>
        <w:rPr>
          <w:rFonts w:hint="eastAsia" w:ascii="仿宋_GB2312" w:eastAsia="仿宋_GB2312"/>
          <w:color w:val="000000"/>
          <w:sz w:val="32"/>
          <w:szCs w:val="32"/>
        </w:rPr>
        <w:t>持平，主要原因是</w:t>
      </w:r>
      <w:r>
        <w:rPr>
          <w:rFonts w:eastAsia="仿宋_GB2312"/>
          <w:color w:val="000000"/>
          <w:sz w:val="32"/>
          <w:szCs w:val="32"/>
        </w:rPr>
        <w:t>坚持量入为出的原则，勤俭节约预算内使用资金。</w:t>
      </w:r>
    </w:p>
    <w:p>
      <w:pPr>
        <w:spacing w:line="600" w:lineRule="exact"/>
        <w:ind w:firstLine="640" w:firstLineChars="200"/>
        <w:rPr>
          <w:rFonts w:ascii="仿宋_GB2312" w:eastAsia="仿宋_GB2312"/>
          <w:color w:val="FF0000"/>
          <w:sz w:val="32"/>
          <w:szCs w:val="32"/>
        </w:rPr>
      </w:pPr>
      <w:r>
        <w:rPr>
          <w:rFonts w:ascii="仿宋_GB2312" w:eastAsia="仿宋_GB2312"/>
          <w:color w:val="000000"/>
          <w:sz w:val="32"/>
          <w:szCs w:val="32"/>
        </w:rPr>
        <w:t>公务用车购置及运行费预算</w:t>
      </w:r>
      <w:r>
        <w:rPr>
          <w:rFonts w:hint="eastAsia" w:ascii="仿宋_GB2312" w:eastAsia="仿宋_GB2312"/>
          <w:color w:val="000000"/>
          <w:sz w:val="32"/>
          <w:szCs w:val="32"/>
        </w:rPr>
        <w:t>0</w:t>
      </w:r>
      <w:r>
        <w:rPr>
          <w:rFonts w:ascii="仿宋_GB2312" w:eastAsia="仿宋_GB2312"/>
          <w:color w:val="000000"/>
          <w:sz w:val="32"/>
          <w:szCs w:val="32"/>
        </w:rPr>
        <w:t>万元</w:t>
      </w:r>
      <w:r>
        <w:rPr>
          <w:rFonts w:hint="eastAsia" w:ascii="仿宋_GB2312" w:eastAsia="仿宋_GB2312"/>
          <w:color w:val="000000"/>
          <w:sz w:val="32"/>
          <w:szCs w:val="32"/>
        </w:rPr>
        <w:t>,</w:t>
      </w:r>
      <w:r>
        <w:rPr>
          <w:rFonts w:ascii="仿宋_GB2312" w:eastAsia="仿宋_GB2312"/>
          <w:color w:val="000000"/>
          <w:sz w:val="32"/>
          <w:szCs w:val="32"/>
        </w:rPr>
        <w:t>主要安排编制内公务车辆的报废更新，以及用于安排市内因公出差、公务文件交换、日常工作开展等所需公务用车燃料费、维修费、过路过桥费、保险费等支出</w:t>
      </w:r>
      <w:r>
        <w:rPr>
          <w:rFonts w:hint="eastAsia" w:ascii="仿宋_GB2312" w:eastAsia="仿宋_GB2312"/>
          <w:color w:val="000000"/>
          <w:sz w:val="32"/>
          <w:szCs w:val="32"/>
        </w:rPr>
        <w:t>。</w:t>
      </w:r>
      <w:r>
        <w:rPr>
          <w:rFonts w:ascii="仿宋_GB2312" w:eastAsia="仿宋_GB2312"/>
          <w:color w:val="000000"/>
          <w:sz w:val="32"/>
          <w:szCs w:val="32"/>
        </w:rPr>
        <w:t>其中，公务用车购置费</w:t>
      </w:r>
      <w:r>
        <w:rPr>
          <w:rFonts w:hint="eastAsia" w:ascii="仿宋_GB2312" w:eastAsia="仿宋_GB2312"/>
          <w:color w:val="000000"/>
          <w:sz w:val="32"/>
          <w:szCs w:val="32"/>
        </w:rPr>
        <w:t>0</w:t>
      </w:r>
      <w:r>
        <w:rPr>
          <w:rFonts w:ascii="仿宋_GB2312" w:eastAsia="仿宋_GB2312"/>
          <w:color w:val="000000"/>
          <w:sz w:val="32"/>
          <w:szCs w:val="32"/>
        </w:rPr>
        <w:t>万元</w:t>
      </w:r>
      <w:r>
        <w:rPr>
          <w:rFonts w:hint="eastAsia" w:ascii="仿宋_GB2312" w:eastAsia="仿宋_GB2312"/>
          <w:color w:val="000000"/>
          <w:sz w:val="32"/>
          <w:szCs w:val="32"/>
        </w:rPr>
        <w:t>, 与</w:t>
      </w:r>
      <w:r>
        <w:rPr>
          <w:rFonts w:ascii="仿宋_GB2312" w:eastAsia="仿宋_GB2312"/>
          <w:color w:val="000000"/>
          <w:sz w:val="32"/>
          <w:szCs w:val="32"/>
        </w:rPr>
        <w:t>2021年</w:t>
      </w:r>
      <w:r>
        <w:rPr>
          <w:rFonts w:hint="eastAsia" w:ascii="仿宋_GB2312" w:eastAsia="仿宋_GB2312"/>
          <w:color w:val="000000"/>
          <w:sz w:val="32"/>
          <w:szCs w:val="32"/>
        </w:rPr>
        <w:t>相</w:t>
      </w:r>
      <w:r>
        <w:rPr>
          <w:rFonts w:ascii="仿宋_GB2312" w:eastAsia="仿宋_GB2312"/>
          <w:color w:val="000000"/>
          <w:sz w:val="32"/>
          <w:szCs w:val="32"/>
        </w:rPr>
        <w:t>比无变化</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主要原因是坚持量入为出的原则，勤俭节约预算内使用资金。</w:t>
      </w:r>
      <w:bookmarkStart w:id="0" w:name="_GoBack"/>
      <w:bookmarkEnd w:id="0"/>
      <w:r>
        <w:rPr>
          <w:rFonts w:ascii="仿宋_GB2312" w:eastAsia="仿宋_GB2312"/>
          <w:color w:val="000000"/>
          <w:sz w:val="32"/>
          <w:szCs w:val="32"/>
        </w:rPr>
        <w:t>公务用车运行费</w:t>
      </w:r>
      <w:r>
        <w:rPr>
          <w:rFonts w:hint="eastAsia" w:ascii="仿宋_GB2312" w:eastAsia="仿宋_GB2312"/>
          <w:color w:val="000000"/>
          <w:sz w:val="32"/>
          <w:szCs w:val="32"/>
        </w:rPr>
        <w:t>0</w:t>
      </w:r>
      <w:r>
        <w:rPr>
          <w:rFonts w:ascii="仿宋_GB2312" w:eastAsia="仿宋_GB2312"/>
          <w:color w:val="000000"/>
          <w:sz w:val="32"/>
          <w:szCs w:val="32"/>
        </w:rPr>
        <w:t>万元</w:t>
      </w:r>
      <w:r>
        <w:rPr>
          <w:rFonts w:hint="eastAsia" w:ascii="仿宋_GB2312" w:eastAsia="仿宋_GB2312"/>
          <w:color w:val="000000"/>
          <w:sz w:val="32"/>
          <w:szCs w:val="32"/>
        </w:rPr>
        <w:t>，比</w:t>
      </w:r>
      <w:r>
        <w:rPr>
          <w:rFonts w:ascii="仿宋_GB2312" w:eastAsia="仿宋_GB2312"/>
          <w:color w:val="000000"/>
          <w:sz w:val="32"/>
          <w:szCs w:val="32"/>
        </w:rPr>
        <w:t>2021年预算</w:t>
      </w:r>
      <w:r>
        <w:rPr>
          <w:rFonts w:hint="eastAsia" w:ascii="仿宋_GB2312" w:eastAsia="仿宋_GB2312"/>
          <w:color w:val="000000"/>
          <w:sz w:val="32"/>
          <w:szCs w:val="32"/>
        </w:rPr>
        <w:t>减少5.8</w:t>
      </w:r>
      <w:r>
        <w:rPr>
          <w:rFonts w:ascii="仿宋_GB2312" w:eastAsia="仿宋_GB2312"/>
          <w:color w:val="000000"/>
          <w:sz w:val="32"/>
          <w:szCs w:val="32"/>
        </w:rPr>
        <w:t>万元</w:t>
      </w:r>
      <w:r>
        <w:rPr>
          <w:rFonts w:hint="eastAsia" w:ascii="仿宋_GB2312" w:eastAsia="仿宋_GB2312"/>
          <w:color w:val="000000"/>
          <w:sz w:val="32"/>
          <w:szCs w:val="32"/>
        </w:rPr>
        <w:t>，主要原因是</w:t>
      </w:r>
      <w:r>
        <w:rPr>
          <w:rFonts w:hint="eastAsia" w:ascii="仿宋_GB2312" w:eastAsia="仿宋_GB2312"/>
          <w:color w:val="000000" w:themeColor="text1"/>
          <w:sz w:val="32"/>
          <w:szCs w:val="32"/>
        </w:rPr>
        <w:t>认真贯彻落实中央“八项规定”精神和厉行节约要求，</w:t>
      </w:r>
      <w:r>
        <w:rPr>
          <w:rFonts w:eastAsia="仿宋_GB2312"/>
          <w:color w:val="000000" w:themeColor="text1"/>
          <w:sz w:val="32"/>
          <w:szCs w:val="32"/>
        </w:rPr>
        <w:t>坚持量入为出的原则，勤俭节约</w:t>
      </w:r>
      <w:r>
        <w:rPr>
          <w:rFonts w:eastAsia="仿宋_GB2312"/>
          <w:color w:val="000000"/>
          <w:sz w:val="32"/>
          <w:szCs w:val="32"/>
        </w:rPr>
        <w:t>预算内使用资金</w:t>
      </w:r>
      <w:r>
        <w:rPr>
          <w:rFonts w:hint="eastAsia" w:ascii="仿宋_GB2312" w:eastAsia="仿宋_GB2312"/>
          <w:color w:val="FF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、政府</w:t>
      </w:r>
      <w:r>
        <w:rPr>
          <w:rFonts w:hint="eastAsia" w:ascii="黑体" w:hAnsi="黑体" w:eastAsia="黑体"/>
          <w:sz w:val="32"/>
          <w:szCs w:val="32"/>
        </w:rPr>
        <w:t>性基金预算支出预算情况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2022年本部门无政府性基金预算。</w:t>
      </w:r>
    </w:p>
    <w:p>
      <w:pPr>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国有资本经营预算支出预算</w:t>
      </w:r>
      <w:r>
        <w:rPr>
          <w:rFonts w:ascii="黑体" w:hAnsi="黑体" w:eastAsia="黑体"/>
          <w:sz w:val="32"/>
          <w:szCs w:val="32"/>
        </w:rPr>
        <w:t>情况</w:t>
      </w:r>
    </w:p>
    <w:p>
      <w:pPr>
        <w:ind w:firstLine="640" w:firstLineChars="200"/>
        <w:rPr>
          <w:rFonts w:ascii="黑体" w:hAnsi="黑体" w:eastAsia="黑体"/>
          <w:sz w:val="32"/>
          <w:szCs w:val="32"/>
        </w:rPr>
      </w:pPr>
      <w:r>
        <w:rPr>
          <w:rFonts w:hint="eastAsia" w:ascii="仿宋_GB2312" w:eastAsia="仿宋_GB2312"/>
          <w:color w:val="000000"/>
          <w:sz w:val="32"/>
          <w:szCs w:val="32"/>
        </w:rPr>
        <w:t>2022年度本部门无国有资本经营预算</w:t>
      </w:r>
      <w:r>
        <w:rPr>
          <w:rFonts w:ascii="仿宋_GB2312" w:eastAsia="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八、其他重要事项的情况</w:t>
      </w:r>
      <w:r>
        <w:rPr>
          <w:rFonts w:ascii="黑体" w:hAnsi="黑体" w:eastAsia="黑体"/>
          <w:sz w:val="32"/>
          <w:szCs w:val="32"/>
        </w:rPr>
        <w:t xml:space="preserve">说明 </w:t>
      </w:r>
    </w:p>
    <w:p>
      <w:pPr>
        <w:ind w:firstLine="643" w:firstLineChars="200"/>
        <w:outlineLvl w:val="0"/>
        <w:rPr>
          <w:rFonts w:hint="eastAsia" w:ascii="楷体_GB2312" w:hAnsi="宋体" w:eastAsia="楷体_GB2312" w:cs="黑体"/>
          <w:b/>
          <w:color w:val="000000"/>
          <w:sz w:val="32"/>
          <w:szCs w:val="32"/>
          <w:lang w:eastAsia="zh-CN"/>
        </w:rPr>
      </w:pPr>
      <w:r>
        <w:rPr>
          <w:rFonts w:hint="eastAsia" w:ascii="楷体_GB2312" w:hAnsi="宋体" w:eastAsia="楷体_GB2312" w:cs="黑体"/>
          <w:b/>
          <w:color w:val="000000"/>
          <w:sz w:val="32"/>
          <w:szCs w:val="32"/>
        </w:rPr>
        <w:t>（一</w:t>
      </w:r>
      <w:r>
        <w:rPr>
          <w:rFonts w:ascii="楷体_GB2312" w:hAnsi="宋体" w:eastAsia="楷体_GB2312" w:cs="黑体"/>
          <w:b/>
          <w:color w:val="000000"/>
          <w:sz w:val="32"/>
          <w:szCs w:val="32"/>
        </w:rPr>
        <w:t>）</w:t>
      </w:r>
      <w:r>
        <w:rPr>
          <w:rFonts w:hint="eastAsia" w:ascii="楷体_GB2312" w:hAnsi="宋体" w:eastAsia="楷体_GB2312" w:cs="黑体"/>
          <w:b/>
          <w:color w:val="000000"/>
          <w:sz w:val="32"/>
          <w:szCs w:val="32"/>
        </w:rPr>
        <w:t>项目情况</w:t>
      </w:r>
      <w:r>
        <w:rPr>
          <w:rFonts w:hint="eastAsia" w:ascii="楷体_GB2312" w:hAnsi="宋体" w:eastAsia="楷体_GB2312" w:cs="黑体"/>
          <w:b/>
          <w:color w:val="000000"/>
          <w:sz w:val="32"/>
          <w:szCs w:val="32"/>
          <w:lang w:eastAsia="zh-CN"/>
        </w:rPr>
        <w:t>说明</w:t>
      </w:r>
    </w:p>
    <w:p>
      <w:pPr>
        <w:ind w:firstLine="643" w:firstLineChars="200"/>
        <w:outlineLvl w:val="0"/>
        <w:rPr>
          <w:rFonts w:ascii="楷体_GB2312" w:hAnsi="宋体" w:eastAsia="楷体_GB2312" w:cs="黑体"/>
          <w:b/>
          <w:color w:val="000000"/>
          <w:sz w:val="32"/>
          <w:szCs w:val="32"/>
        </w:rPr>
      </w:pPr>
      <w:r>
        <w:rPr>
          <w:rFonts w:hint="eastAsia" w:ascii="楷体_GB2312" w:hAnsi="宋体" w:eastAsia="楷体_GB2312" w:cs="黑体"/>
          <w:b/>
          <w:color w:val="000000"/>
          <w:sz w:val="32"/>
          <w:szCs w:val="32"/>
          <w:lang w:eastAsia="zh-CN"/>
        </w:rPr>
        <w:t>项目一：</w:t>
      </w:r>
      <w:r>
        <w:rPr>
          <w:rFonts w:hint="eastAsia" w:ascii="楷体_GB2312" w:hAnsi="宋体" w:eastAsia="楷体_GB2312" w:cs="黑体"/>
          <w:b/>
          <w:color w:val="000000"/>
          <w:sz w:val="32"/>
          <w:szCs w:val="32"/>
        </w:rPr>
        <w:t>绩效评价与监督检查服务项目情况</w:t>
      </w:r>
    </w:p>
    <w:p>
      <w:pPr>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1、项目</w:t>
      </w:r>
      <w:r>
        <w:rPr>
          <w:rFonts w:ascii="仿宋_GB2312" w:eastAsia="仿宋_GB2312"/>
          <w:color w:val="000000"/>
          <w:sz w:val="32"/>
          <w:szCs w:val="32"/>
        </w:rPr>
        <w:t>概述</w:t>
      </w:r>
    </w:p>
    <w:p>
      <w:pPr>
        <w:ind w:firstLine="640" w:firstLineChars="200"/>
        <w:outlineLvl w:val="0"/>
        <w:rPr>
          <w:rFonts w:ascii="仿宋_GB2312" w:hAnsi="宋体" w:eastAsia="仿宋_GB2312"/>
          <w:color w:val="000000"/>
          <w:sz w:val="32"/>
          <w:szCs w:val="32"/>
          <w:highlight w:val="yellow"/>
        </w:rPr>
      </w:pPr>
      <w:r>
        <w:rPr>
          <w:rFonts w:hint="eastAsia" w:ascii="仿宋_GB2312" w:eastAsia="仿宋_GB2312"/>
          <w:color w:val="000000"/>
          <w:sz w:val="32"/>
          <w:szCs w:val="32"/>
        </w:rPr>
        <w:t>为推进财政支出预算绩效管理，强化预算支出责任理念，提高预算支出使用的效率和效益，确保财政资金充分发挥效用，根据财政部《关于印发&lt;项目支出绩效评价管理办法&gt;的通知》（财预〔2020〕10 号）、大连金普新区财政局《关于印发&lt;金普新区预算绩效管理办法&gt;的通知》（大金财监发[2020]136号）等文件相关</w:t>
      </w:r>
      <w:r>
        <w:rPr>
          <w:rFonts w:hint="eastAsia" w:ascii="仿宋_GB2312" w:hAnsi="宋体" w:eastAsia="仿宋_GB2312"/>
          <w:color w:val="000000"/>
          <w:sz w:val="32"/>
          <w:szCs w:val="32"/>
        </w:rPr>
        <w:t>规定，委托第三方评价机构，对2</w:t>
      </w:r>
      <w:r>
        <w:rPr>
          <w:rFonts w:ascii="仿宋_GB2312" w:hAnsi="宋体" w:eastAsia="仿宋_GB2312"/>
          <w:color w:val="000000"/>
          <w:sz w:val="32"/>
          <w:szCs w:val="32"/>
        </w:rPr>
        <w:t>021</w:t>
      </w:r>
      <w:r>
        <w:rPr>
          <w:rFonts w:hint="eastAsia" w:ascii="仿宋_GB2312" w:hAnsi="宋体" w:eastAsia="仿宋_GB2312"/>
          <w:color w:val="000000"/>
          <w:sz w:val="32"/>
          <w:szCs w:val="32"/>
        </w:rPr>
        <w:t>年度重点领域项目进行绩效评价。</w:t>
      </w:r>
    </w:p>
    <w:p>
      <w:pPr>
        <w:ind w:firstLine="960" w:firstLineChars="300"/>
        <w:rPr>
          <w:rFonts w:ascii="仿宋_GB2312" w:eastAsia="仿宋_GB2312"/>
          <w:color w:val="000000"/>
          <w:sz w:val="32"/>
          <w:szCs w:val="32"/>
        </w:rPr>
      </w:pPr>
      <w:r>
        <w:rPr>
          <w:rFonts w:hint="eastAsia" w:ascii="仿宋_GB2312" w:eastAsia="仿宋_GB2312"/>
          <w:color w:val="000000"/>
          <w:sz w:val="32"/>
          <w:szCs w:val="32"/>
        </w:rPr>
        <w:t>2、立项依据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hAnsi="宋体" w:eastAsia="仿宋_GB2312"/>
          <w:color w:val="000000"/>
          <w:sz w:val="32"/>
          <w:szCs w:val="32"/>
        </w:rPr>
        <w:t>财政部《关于印发&lt;项目支出绩效评价管理办法&gt;的通知》（财预〔2020〕10 号）</w:t>
      </w:r>
    </w:p>
    <w:p>
      <w:pPr>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hAnsi="宋体" w:eastAsia="仿宋_GB2312"/>
          <w:color w:val="000000"/>
          <w:sz w:val="32"/>
          <w:szCs w:val="32"/>
        </w:rPr>
        <w:t>《财政部门监督办法》（财政部令第69号）；</w:t>
      </w:r>
    </w:p>
    <w:p>
      <w:pPr>
        <w:ind w:firstLine="640" w:firstLineChars="200"/>
        <w:rPr>
          <w:rFonts w:ascii="宋体" w:hAnsi="宋体"/>
          <w:w w:val="133"/>
          <w:kern w:val="0"/>
          <w:szCs w:val="21"/>
        </w:rPr>
      </w:pPr>
      <w:r>
        <w:rPr>
          <w:rFonts w:hint="eastAsia" w:ascii="仿宋_GB2312" w:hAnsi="宋体" w:eastAsia="仿宋_GB2312"/>
          <w:color w:val="000000"/>
          <w:sz w:val="32"/>
          <w:szCs w:val="32"/>
        </w:rPr>
        <w:t>（3）《财政票据管理办法》（财政部令第70号）；</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（4）大连市财政局《关于印发大连市财政项目支出预算绩效管理办法的通知》(大财绩〔2020〕956号)；</w:t>
      </w:r>
    </w:p>
    <w:p>
      <w:pPr>
        <w:ind w:firstLine="640" w:firstLineChars="200"/>
        <w:rPr>
          <w:rFonts w:ascii="仿宋_GB2312"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5</w:t>
      </w:r>
      <w:r>
        <w:rPr>
          <w:rFonts w:hint="eastAsia" w:ascii="仿宋_GB2312" w:hAnsi="宋体" w:eastAsia="仿宋_GB2312"/>
          <w:color w:val="000000"/>
          <w:sz w:val="32"/>
          <w:szCs w:val="32"/>
        </w:rPr>
        <w:t>）大连金普新区财政局《关于印发&lt;金普新区预算绩效管理办法&gt;的通知》（大金财监发[2020]136号）</w:t>
      </w:r>
      <w:r>
        <w:rPr>
          <w:rFonts w:ascii="仿宋_GB2312" w:eastAsia="仿宋_GB2312"/>
          <w:color w:val="000000"/>
          <w:sz w:val="32"/>
          <w:szCs w:val="32"/>
        </w:rPr>
        <w:t>。</w:t>
      </w:r>
    </w:p>
    <w:p>
      <w:pPr>
        <w:ind w:firstLine="960" w:firstLineChars="300"/>
        <w:rPr>
          <w:rFonts w:ascii="仿宋_GB2312" w:eastAsia="仿宋_GB2312"/>
          <w:color w:val="000000"/>
          <w:sz w:val="32"/>
          <w:szCs w:val="32"/>
        </w:rPr>
      </w:pPr>
      <w:r>
        <w:rPr>
          <w:rFonts w:hint="eastAsia" w:ascii="仿宋_GB2312" w:eastAsia="仿宋_GB2312"/>
          <w:color w:val="000000"/>
          <w:sz w:val="32"/>
          <w:szCs w:val="32"/>
        </w:rPr>
        <w:t>3、实施</w:t>
      </w:r>
      <w:r>
        <w:rPr>
          <w:rFonts w:ascii="仿宋_GB2312" w:eastAsia="仿宋_GB2312"/>
          <w:color w:val="000000"/>
          <w:sz w:val="32"/>
          <w:szCs w:val="32"/>
        </w:rPr>
        <w:t>主体</w:t>
      </w:r>
    </w:p>
    <w:p>
      <w:pPr>
        <w:ind w:firstLine="960" w:firstLineChars="300"/>
        <w:rPr>
          <w:rFonts w:ascii="仿宋_GB2312" w:eastAsia="仿宋_GB2312"/>
          <w:color w:val="000000"/>
          <w:sz w:val="32"/>
          <w:szCs w:val="32"/>
        </w:rPr>
      </w:pPr>
      <w:r>
        <w:rPr>
          <w:rFonts w:hint="eastAsia" w:ascii="仿宋_GB2312" w:eastAsia="仿宋_GB2312"/>
          <w:sz w:val="32"/>
          <w:szCs w:val="32"/>
        </w:rPr>
        <w:t>大连金普新区财政局。</w:t>
      </w:r>
    </w:p>
    <w:p>
      <w:pPr>
        <w:ind w:firstLine="960" w:firstLineChars="300"/>
        <w:rPr>
          <w:rFonts w:ascii="仿宋_GB2312" w:eastAsia="仿宋_GB2312"/>
          <w:color w:val="000000"/>
          <w:sz w:val="32"/>
          <w:szCs w:val="32"/>
        </w:rPr>
      </w:pPr>
      <w:r>
        <w:rPr>
          <w:rFonts w:hint="eastAsia" w:ascii="仿宋_GB2312" w:eastAsia="仿宋_GB2312"/>
          <w:color w:val="000000"/>
          <w:sz w:val="32"/>
          <w:szCs w:val="32"/>
        </w:rPr>
        <w:t>4、实施</w:t>
      </w:r>
      <w:r>
        <w:rPr>
          <w:rFonts w:ascii="仿宋_GB2312" w:eastAsia="仿宋_GB2312"/>
          <w:color w:val="000000"/>
          <w:sz w:val="32"/>
          <w:szCs w:val="32"/>
        </w:rPr>
        <w:t>方案</w:t>
      </w:r>
    </w:p>
    <w:p>
      <w:pPr>
        <w:ind w:left="709"/>
        <w:outlineLvl w:val="0"/>
        <w:rPr>
          <w:rFonts w:ascii="楷体_GB2312" w:hAnsi="宋体" w:eastAsia="楷体_GB2312" w:cs="黑体"/>
          <w:b/>
          <w:color w:val="000000"/>
          <w:sz w:val="30"/>
          <w:szCs w:val="30"/>
        </w:rPr>
      </w:pPr>
      <w:r>
        <w:rPr>
          <w:rFonts w:hint="eastAsia" w:ascii="仿宋_GB2312" w:eastAsia="仿宋_GB2312"/>
          <w:color w:val="000000"/>
          <w:sz w:val="32"/>
          <w:szCs w:val="32"/>
        </w:rPr>
        <w:t>（1）绩效评价</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项目的主要目标：一是加强预算绩效管理，强化部门预算支出责任，推进部门提高财政资金绩效管理水平，促进健全新区预算绩效管理工作；二是保障绩效评价报告结果的应用，提高财政资金的规范化管理水平和财政资金的使用效益。</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总体思路及主要内容：一是责任科室分管预算单位项目支出均开展绩效目标管理工作，对预算部门申报项目的绩效目标会同委托第三方机构实施集中梳理和审核；二是责任科室分管预算单位抽取202</w:t>
      </w:r>
      <w:r>
        <w:rPr>
          <w:rFonts w:ascii="仿宋_GB2312" w:eastAsia="仿宋_GB2312"/>
          <w:color w:val="000000"/>
          <w:sz w:val="32"/>
          <w:szCs w:val="32"/>
        </w:rPr>
        <w:t>2</w:t>
      </w:r>
      <w:r>
        <w:rPr>
          <w:rFonts w:hint="eastAsia" w:ascii="仿宋_GB2312" w:eastAsia="仿宋_GB2312"/>
          <w:color w:val="000000"/>
          <w:sz w:val="32"/>
          <w:szCs w:val="32"/>
        </w:rPr>
        <w:t>年项目支出委托第三方机构开展绩效监控管理工作，将绩效监控结果应用于当年预算调整或以后年度预算编制、完善政策和改进管理；三是责任科室结合部门整体和支出项目绩效目标，抽取部门整体和重点领域支出项目委托第三方评价机构开展绩效评价管理工作。</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（2）监督检查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项目的主要目标：保障财政监督检查业务正常运行和各类专项资金安全高效，推动财政监督检查结果的反馈整改。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主要内容：根据大连市财政局年度工作计划安排，委托第三方机构对部分部门（单位）进行会计信息质量检查、对部分部门（单位）进行非税票据使用及管理方面检查。</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本项目实施</w:t>
      </w:r>
      <w:r>
        <w:rPr>
          <w:rFonts w:ascii="仿宋_GB2312" w:eastAsia="仿宋_GB2312"/>
          <w:color w:val="000000"/>
          <w:sz w:val="32"/>
          <w:szCs w:val="32"/>
        </w:rPr>
        <w:t>方案的路径选择是最</w:t>
      </w:r>
      <w:r>
        <w:rPr>
          <w:rFonts w:hint="eastAsia" w:ascii="仿宋_GB2312" w:eastAsia="仿宋_GB2312"/>
          <w:color w:val="000000"/>
          <w:sz w:val="32"/>
          <w:szCs w:val="32"/>
        </w:rPr>
        <w:t>优的选择。</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5、实施周期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022</w:t>
      </w:r>
      <w:r>
        <w:rPr>
          <w:rFonts w:hint="eastAsia" w:ascii="仿宋_GB2312" w:eastAsia="仿宋_GB2312"/>
          <w:color w:val="000000"/>
          <w:sz w:val="32"/>
          <w:szCs w:val="32"/>
        </w:rPr>
        <w:t>年1月1日至2</w:t>
      </w:r>
      <w:r>
        <w:rPr>
          <w:rFonts w:ascii="仿宋_GB2312" w:eastAsia="仿宋_GB2312"/>
          <w:color w:val="000000"/>
          <w:sz w:val="32"/>
          <w:szCs w:val="32"/>
        </w:rPr>
        <w:t>022</w:t>
      </w:r>
      <w:r>
        <w:rPr>
          <w:rFonts w:hint="eastAsia" w:ascii="仿宋_GB2312" w:eastAsia="仿宋_GB2312"/>
          <w:color w:val="000000"/>
          <w:sz w:val="32"/>
          <w:szCs w:val="32"/>
        </w:rPr>
        <w:t>年1</w:t>
      </w:r>
      <w:r>
        <w:rPr>
          <w:rFonts w:ascii="仿宋_GB2312" w:eastAsia="仿宋_GB2312"/>
          <w:color w:val="000000"/>
          <w:sz w:val="32"/>
          <w:szCs w:val="32"/>
        </w:rPr>
        <w:t>2</w:t>
      </w:r>
      <w:r>
        <w:rPr>
          <w:rFonts w:hint="eastAsia" w:ascii="仿宋_GB2312" w:eastAsia="仿宋_GB2312"/>
          <w:color w:val="000000"/>
          <w:sz w:val="32"/>
          <w:szCs w:val="32"/>
        </w:rPr>
        <w:t>月3</w:t>
      </w:r>
      <w:r>
        <w:rPr>
          <w:rFonts w:ascii="仿宋_GB2312" w:eastAsia="仿宋_GB2312"/>
          <w:color w:val="000000"/>
          <w:sz w:val="32"/>
          <w:szCs w:val="32"/>
        </w:rPr>
        <w:t>1</w:t>
      </w:r>
      <w:r>
        <w:rPr>
          <w:rFonts w:hint="eastAsia" w:ascii="仿宋_GB2312" w:eastAsia="仿宋_GB2312"/>
          <w:color w:val="000000"/>
          <w:sz w:val="32"/>
          <w:szCs w:val="32"/>
        </w:rPr>
        <w:t>日</w:t>
      </w:r>
      <w:r>
        <w:rPr>
          <w:rFonts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6、年度预算安排</w:t>
      </w:r>
    </w:p>
    <w:p>
      <w:pPr>
        <w:ind w:firstLine="640" w:firstLineChars="200"/>
        <w:rPr>
          <w:rFonts w:ascii="仿宋_GB2312" w:eastAsia="仿宋_GB2312"/>
          <w:color w:val="000000"/>
          <w:sz w:val="32"/>
          <w:szCs w:val="32"/>
        </w:rPr>
      </w:pPr>
      <w:r>
        <w:rPr>
          <w:rFonts w:ascii="仿宋_GB2312" w:eastAsia="仿宋_GB2312"/>
          <w:color w:val="000000"/>
          <w:sz w:val="32"/>
          <w:szCs w:val="32"/>
        </w:rPr>
        <w:t>2022</w:t>
      </w:r>
      <w:r>
        <w:rPr>
          <w:rFonts w:hint="eastAsia" w:ascii="仿宋_GB2312" w:eastAsia="仿宋_GB2312"/>
          <w:color w:val="000000"/>
          <w:sz w:val="32"/>
          <w:szCs w:val="32"/>
        </w:rPr>
        <w:t>年拟</w:t>
      </w:r>
      <w:r>
        <w:rPr>
          <w:rFonts w:ascii="仿宋_GB2312" w:eastAsia="仿宋_GB2312"/>
          <w:color w:val="000000"/>
          <w:sz w:val="32"/>
          <w:szCs w:val="32"/>
        </w:rPr>
        <w:t>安排该项目一般公共预算</w:t>
      </w:r>
      <w:r>
        <w:rPr>
          <w:rFonts w:ascii="仿宋_GB2312" w:hAnsi="宋体" w:eastAsia="仿宋_GB2312"/>
          <w:color w:val="000000"/>
          <w:sz w:val="32"/>
          <w:szCs w:val="32"/>
        </w:rPr>
        <w:t>150</w:t>
      </w:r>
      <w:r>
        <w:rPr>
          <w:rFonts w:hint="eastAsia" w:ascii="仿宋_GB2312" w:hAnsi="宋体" w:eastAsia="仿宋_GB2312"/>
          <w:color w:val="000000"/>
          <w:sz w:val="32"/>
          <w:szCs w:val="32"/>
        </w:rPr>
        <w:t>万元，</w:t>
      </w:r>
      <w:r>
        <w:rPr>
          <w:rFonts w:ascii="仿宋_GB2312" w:hAnsi="宋体" w:eastAsia="仿宋_GB2312"/>
          <w:color w:val="000000"/>
          <w:sz w:val="32"/>
          <w:szCs w:val="32"/>
        </w:rPr>
        <w:t>其中</w:t>
      </w:r>
      <w:r>
        <w:rPr>
          <w:rFonts w:hint="eastAsia" w:ascii="仿宋_GB2312" w:hAnsi="宋体" w:eastAsia="仿宋_GB2312"/>
          <w:color w:val="000000"/>
          <w:sz w:val="32"/>
          <w:szCs w:val="32"/>
        </w:rPr>
        <w:t>：</w:t>
      </w:r>
    </w:p>
    <w:p>
      <w:pPr>
        <w:ind w:firstLine="640" w:firstLineChars="200"/>
        <w:rPr>
          <w:rFonts w:ascii="仿宋_GB2312" w:eastAsia="仿宋_GB2312"/>
          <w:sz w:val="32"/>
          <w:szCs w:val="32"/>
        </w:rPr>
      </w:pPr>
      <w:r>
        <w:rPr>
          <w:rFonts w:hint="eastAsia" w:ascii="仿宋_GB2312" w:hAnsi="宋体" w:eastAsia="仿宋_GB2312"/>
          <w:color w:val="000000"/>
          <w:sz w:val="32"/>
          <w:szCs w:val="32"/>
        </w:rPr>
        <w:t>（1</w:t>
      </w:r>
      <w:r>
        <w:rPr>
          <w:rFonts w:ascii="仿宋_GB2312" w:hAnsi="宋体" w:eastAsia="仿宋_GB2312"/>
          <w:color w:val="000000"/>
          <w:sz w:val="32"/>
          <w:szCs w:val="32"/>
        </w:rPr>
        <w:t>）</w:t>
      </w:r>
      <w:r>
        <w:rPr>
          <w:rFonts w:hint="eastAsia" w:ascii="仿宋_GB2312" w:hAnsi="宋体" w:eastAsia="仿宋_GB2312"/>
          <w:color w:val="000000"/>
          <w:sz w:val="32"/>
          <w:szCs w:val="32"/>
        </w:rPr>
        <w:t>绩效评价子</w:t>
      </w:r>
      <w:r>
        <w:rPr>
          <w:rFonts w:ascii="仿宋_GB2312" w:hAnsi="宋体" w:eastAsia="仿宋_GB2312"/>
          <w:color w:val="000000"/>
          <w:sz w:val="32"/>
          <w:szCs w:val="32"/>
        </w:rPr>
        <w:t>项目</w:t>
      </w:r>
      <w:r>
        <w:rPr>
          <w:rFonts w:hint="eastAsia" w:ascii="仿宋_GB2312" w:hAnsi="宋体" w:eastAsia="仿宋_GB2312"/>
          <w:sz w:val="32"/>
          <w:szCs w:val="32"/>
        </w:rPr>
        <w:t>100</w:t>
      </w:r>
      <w:r>
        <w:rPr>
          <w:rFonts w:hint="eastAsia" w:ascii="仿宋_GB2312" w:hAnsi="宋体" w:eastAsia="仿宋_GB2312"/>
          <w:color w:val="000000"/>
          <w:sz w:val="32"/>
          <w:szCs w:val="32"/>
        </w:rPr>
        <w:t>万元，</w:t>
      </w:r>
      <w:r>
        <w:rPr>
          <w:rFonts w:ascii="仿宋_GB2312" w:hAnsi="宋体" w:eastAsia="仿宋_GB2312"/>
          <w:color w:val="000000"/>
          <w:sz w:val="32"/>
          <w:szCs w:val="32"/>
        </w:rPr>
        <w:t>主要用于</w:t>
      </w:r>
      <w:r>
        <w:rPr>
          <w:rFonts w:hint="eastAsia" w:ascii="仿宋_GB2312" w:hAnsi="宋体" w:eastAsia="仿宋_GB2312"/>
          <w:color w:val="000000"/>
          <w:sz w:val="32"/>
          <w:szCs w:val="32"/>
        </w:rPr>
        <w:t>部门</w:t>
      </w:r>
      <w:r>
        <w:rPr>
          <w:rFonts w:hint="eastAsia" w:ascii="仿宋_GB2312" w:hAnsi="宋体" w:eastAsia="仿宋_GB2312"/>
          <w:sz w:val="32"/>
          <w:szCs w:val="32"/>
        </w:rPr>
        <w:t>整体绩效评价、事前绩效评估、事中监控、项目绩效评价等；</w:t>
      </w:r>
    </w:p>
    <w:p>
      <w:pPr>
        <w:ind w:firstLine="640" w:firstLineChars="200"/>
        <w:rPr>
          <w:rFonts w:ascii="仿宋_GB2312"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监督检查子</w:t>
      </w:r>
      <w:r>
        <w:rPr>
          <w:rFonts w:ascii="仿宋_GB2312" w:hAnsi="宋体" w:eastAsia="仿宋_GB2312"/>
          <w:sz w:val="32"/>
          <w:szCs w:val="32"/>
        </w:rPr>
        <w:t>项目</w:t>
      </w:r>
      <w:r>
        <w:rPr>
          <w:rFonts w:hint="eastAsia" w:ascii="仿宋_GB2312" w:hAnsi="宋体" w:eastAsia="仿宋_GB2312"/>
          <w:sz w:val="32"/>
          <w:szCs w:val="32"/>
        </w:rPr>
        <w:t>50万元，</w:t>
      </w:r>
      <w:r>
        <w:rPr>
          <w:rFonts w:ascii="仿宋_GB2312" w:hAnsi="宋体" w:eastAsia="仿宋_GB2312"/>
          <w:sz w:val="32"/>
          <w:szCs w:val="32"/>
        </w:rPr>
        <w:t>主要用于</w:t>
      </w:r>
      <w:r>
        <w:rPr>
          <w:rFonts w:hint="eastAsia" w:ascii="仿宋_GB2312" w:hAnsi="宋体" w:eastAsia="仿宋_GB2312"/>
          <w:sz w:val="32"/>
          <w:szCs w:val="32"/>
        </w:rPr>
        <w:t>部门（单位）会计信息质量检查、非税票据检查、预（决）算公开检查等。</w:t>
      </w:r>
    </w:p>
    <w:p>
      <w:pPr>
        <w:ind w:firstLine="643" w:firstLineChars="200"/>
        <w:outlineLvl w:val="0"/>
        <w:rPr>
          <w:rFonts w:ascii="楷体_GB2312" w:hAnsi="宋体" w:eastAsia="楷体_GB2312" w:cs="黑体"/>
          <w:b/>
          <w:color w:val="000000"/>
          <w:sz w:val="32"/>
          <w:szCs w:val="32"/>
        </w:rPr>
      </w:pPr>
      <w:r>
        <w:rPr>
          <w:rFonts w:hint="eastAsia" w:ascii="楷体_GB2312" w:hAnsi="宋体" w:eastAsia="楷体_GB2312" w:cs="黑体"/>
          <w:b/>
          <w:color w:val="000000"/>
          <w:sz w:val="32"/>
          <w:szCs w:val="32"/>
          <w:lang w:eastAsia="zh-CN"/>
        </w:rPr>
        <w:t>项目二：</w:t>
      </w:r>
      <w:r>
        <w:rPr>
          <w:rFonts w:hint="eastAsia" w:ascii="楷体_GB2312" w:hAnsi="宋体" w:eastAsia="楷体_GB2312" w:cs="黑体"/>
          <w:b/>
          <w:color w:val="000000"/>
          <w:sz w:val="32"/>
          <w:szCs w:val="32"/>
        </w:rPr>
        <w:t>金普新区企业金融服务平台服务采购项目情况</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1、项目概述</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为落实国家级新区、自由贸易试验区等国家战略任务要求，促进金融产业发展、推动金融服务和产品创新、提升金融服务实体经济能力，编织新区金融产业发展规划。</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2、立项依据</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新区产业基础深厚，但金融服务业存在机构少、规模小、功能弱等不足，金融产业发展亟需政策支持、规划引领。编制新区金融业发展专项规划，分析现实基础、借鉴发达省市经验、研究发展方向和工作任务，是促进新区金融创新、先行先试、科学有序发展的必要举措。</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3、实施主体</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经请示新区管委会同意，财政局通过政府采购服务、公开招标形式确定由毕马威咨询负责方案编制。</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4、实施方案</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签署规划编制委托合同，由毕马威开展调研，并负责形成新区金融发展评价、金融发展规划等两个文件，经专家论证后提交管委会批准印发。</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5、实施周期</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根据服务采购合同，服务期限一年。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6、年度预算安排</w:t>
      </w:r>
    </w:p>
    <w:p>
      <w:pPr>
        <w:ind w:firstLine="640" w:firstLineChars="200"/>
        <w:rPr>
          <w:rFonts w:ascii="仿宋_GB2312" w:hAnsi="宋体" w:eastAsia="仿宋_GB2312"/>
          <w:color w:val="000000"/>
          <w:sz w:val="32"/>
          <w:szCs w:val="32"/>
        </w:rPr>
      </w:pPr>
      <w:r>
        <w:rPr>
          <w:rFonts w:ascii="仿宋_GB2312" w:eastAsia="仿宋_GB2312"/>
          <w:color w:val="000000"/>
          <w:sz w:val="32"/>
          <w:szCs w:val="32"/>
        </w:rPr>
        <w:t>2022</w:t>
      </w:r>
      <w:r>
        <w:rPr>
          <w:rFonts w:hint="eastAsia" w:ascii="仿宋_GB2312" w:eastAsia="仿宋_GB2312"/>
          <w:color w:val="000000"/>
          <w:sz w:val="32"/>
          <w:szCs w:val="32"/>
        </w:rPr>
        <w:t>年拟</w:t>
      </w:r>
      <w:r>
        <w:rPr>
          <w:rFonts w:ascii="仿宋_GB2312" w:eastAsia="仿宋_GB2312"/>
          <w:color w:val="000000"/>
          <w:sz w:val="32"/>
          <w:szCs w:val="32"/>
        </w:rPr>
        <w:t>安排该项目一般公共预算</w:t>
      </w:r>
      <w:r>
        <w:rPr>
          <w:rFonts w:hint="eastAsia" w:ascii="仿宋_GB2312" w:hAnsi="宋体" w:eastAsia="仿宋_GB2312"/>
          <w:color w:val="000000"/>
          <w:sz w:val="32"/>
          <w:szCs w:val="32"/>
        </w:rPr>
        <w:t>608万元，</w:t>
      </w:r>
      <w:r>
        <w:rPr>
          <w:rFonts w:ascii="仿宋_GB2312" w:hAnsi="宋体" w:eastAsia="仿宋_GB2312"/>
          <w:color w:val="000000"/>
          <w:sz w:val="32"/>
          <w:szCs w:val="32"/>
        </w:rPr>
        <w:t>主要用于</w:t>
      </w:r>
      <w:r>
        <w:rPr>
          <w:rFonts w:hint="eastAsia" w:ascii="仿宋_GB2312" w:hAnsi="宋体" w:eastAsia="仿宋_GB2312"/>
          <w:color w:val="000000"/>
          <w:sz w:val="32"/>
          <w:szCs w:val="32"/>
        </w:rPr>
        <w:t>金融业发展规划编制费用支出。</w:t>
      </w:r>
    </w:p>
    <w:p>
      <w:pPr>
        <w:ind w:firstLine="643" w:firstLineChars="200"/>
        <w:rPr>
          <w:rFonts w:ascii="楷体_GB2312" w:eastAsia="楷体_GB2312"/>
          <w:b/>
          <w:color w:val="000000"/>
          <w:sz w:val="32"/>
          <w:szCs w:val="32"/>
        </w:rPr>
      </w:pPr>
      <w:r>
        <w:rPr>
          <w:rFonts w:hint="eastAsia" w:ascii="楷体_GB2312" w:eastAsia="楷体_GB2312"/>
          <w:b/>
          <w:color w:val="000000"/>
          <w:sz w:val="32"/>
          <w:szCs w:val="32"/>
        </w:rPr>
        <w:t>（</w:t>
      </w:r>
      <w:r>
        <w:rPr>
          <w:rFonts w:hint="eastAsia" w:ascii="楷体_GB2312" w:eastAsia="楷体_GB2312"/>
          <w:b/>
          <w:color w:val="000000"/>
          <w:sz w:val="32"/>
          <w:szCs w:val="32"/>
          <w:lang w:eastAsia="zh-CN"/>
        </w:rPr>
        <w:t>二</w:t>
      </w:r>
      <w:r>
        <w:rPr>
          <w:rFonts w:hint="eastAsia" w:ascii="楷体_GB2312" w:eastAsia="楷体_GB2312"/>
          <w:b/>
          <w:color w:val="000000"/>
          <w:sz w:val="32"/>
          <w:szCs w:val="32"/>
        </w:rPr>
        <w:t xml:space="preserve">）机关（事业）运行经费预算 </w:t>
      </w:r>
    </w:p>
    <w:p>
      <w:pPr>
        <w:ind w:firstLine="800" w:firstLineChars="250"/>
        <w:rPr>
          <w:rFonts w:ascii="仿宋_GB2312" w:eastAsia="仿宋_GB2312"/>
          <w:b/>
          <w:color w:val="000000"/>
          <w:sz w:val="32"/>
          <w:szCs w:val="32"/>
        </w:rPr>
      </w:pPr>
      <w:r>
        <w:rPr>
          <w:rFonts w:ascii="仿宋_GB2312" w:eastAsia="仿宋_GB2312"/>
          <w:color w:val="000000"/>
          <w:sz w:val="32"/>
          <w:szCs w:val="32"/>
        </w:rPr>
        <w:t>机关</w:t>
      </w:r>
      <w:r>
        <w:rPr>
          <w:rFonts w:hint="eastAsia" w:ascii="仿宋_GB2312" w:eastAsia="仿宋_GB2312"/>
          <w:color w:val="000000"/>
          <w:sz w:val="32"/>
          <w:szCs w:val="32"/>
        </w:rPr>
        <w:t>（事业</w:t>
      </w:r>
      <w:r>
        <w:rPr>
          <w:rFonts w:ascii="仿宋_GB2312" w:eastAsia="仿宋_GB2312"/>
          <w:color w:val="000000"/>
          <w:sz w:val="32"/>
          <w:szCs w:val="32"/>
        </w:rPr>
        <w:t>）运行经费是指行政</w:t>
      </w:r>
      <w:r>
        <w:rPr>
          <w:rFonts w:hint="eastAsia" w:ascii="仿宋_GB2312" w:eastAsia="仿宋_GB2312"/>
          <w:color w:val="000000"/>
          <w:sz w:val="32"/>
          <w:szCs w:val="32"/>
        </w:rPr>
        <w:t>机关（事业</w:t>
      </w:r>
      <w:r>
        <w:rPr>
          <w:rFonts w:ascii="仿宋_GB2312" w:eastAsia="仿宋_GB2312"/>
          <w:color w:val="000000"/>
          <w:sz w:val="32"/>
          <w:szCs w:val="32"/>
        </w:rPr>
        <w:t>）使用一般公共预算财政拨款安排的基本支出中的公用经费支出</w:t>
      </w:r>
      <w:r>
        <w:rPr>
          <w:rFonts w:hint="eastAsia" w:ascii="仿宋_GB2312" w:eastAsia="仿宋_GB2312"/>
          <w:color w:val="000000"/>
          <w:sz w:val="32"/>
          <w:szCs w:val="32"/>
        </w:rPr>
        <w:t>。</w:t>
      </w:r>
      <w:r>
        <w:rPr>
          <w:rFonts w:ascii="仿宋_GB2312" w:eastAsia="仿宋_GB2312"/>
          <w:color w:val="000000"/>
          <w:sz w:val="32"/>
          <w:szCs w:val="32"/>
        </w:rPr>
        <w:t>2022年度机关</w:t>
      </w:r>
      <w:r>
        <w:rPr>
          <w:rFonts w:hint="eastAsia" w:ascii="仿宋_GB2312" w:eastAsia="仿宋_GB2312"/>
          <w:color w:val="000000"/>
          <w:sz w:val="32"/>
          <w:szCs w:val="32"/>
        </w:rPr>
        <w:t>(事业)</w:t>
      </w:r>
      <w:r>
        <w:rPr>
          <w:rFonts w:ascii="仿宋_GB2312" w:eastAsia="仿宋_GB2312"/>
          <w:color w:val="000000"/>
          <w:sz w:val="32"/>
          <w:szCs w:val="32"/>
        </w:rPr>
        <w:t>运行经费财政拨款预算</w:t>
      </w:r>
      <w:r>
        <w:rPr>
          <w:rFonts w:hint="eastAsia" w:ascii="仿宋_GB2312" w:eastAsia="仿宋_GB2312"/>
          <w:color w:val="000000"/>
          <w:sz w:val="32"/>
          <w:szCs w:val="32"/>
        </w:rPr>
        <w:t>403.88</w:t>
      </w:r>
      <w:r>
        <w:rPr>
          <w:rFonts w:ascii="仿宋_GB2312" w:eastAsia="仿宋_GB2312"/>
          <w:color w:val="000000"/>
          <w:sz w:val="32"/>
          <w:szCs w:val="32"/>
        </w:rPr>
        <w:t>万元</w:t>
      </w:r>
      <w:r>
        <w:rPr>
          <w:rFonts w:hint="eastAsia" w:ascii="仿宋_GB2312" w:eastAsia="仿宋_GB2312"/>
          <w:color w:val="000000"/>
          <w:sz w:val="32"/>
          <w:szCs w:val="32"/>
        </w:rPr>
        <w:t>, 比</w:t>
      </w:r>
      <w:r>
        <w:rPr>
          <w:rFonts w:ascii="仿宋_GB2312" w:eastAsia="仿宋_GB2312"/>
          <w:color w:val="000000"/>
          <w:sz w:val="32"/>
          <w:szCs w:val="32"/>
        </w:rPr>
        <w:t>2021年预算</w:t>
      </w:r>
      <w:r>
        <w:rPr>
          <w:rFonts w:hint="eastAsia" w:ascii="仿宋_GB2312" w:eastAsia="仿宋_GB2312"/>
          <w:color w:val="000000"/>
          <w:sz w:val="32"/>
          <w:szCs w:val="32"/>
        </w:rPr>
        <w:t>减少13.13</w:t>
      </w:r>
      <w:r>
        <w:rPr>
          <w:rFonts w:ascii="仿宋_GB2312" w:eastAsia="仿宋_GB2312"/>
          <w:color w:val="000000"/>
          <w:sz w:val="32"/>
          <w:szCs w:val="32"/>
        </w:rPr>
        <w:t>万元</w:t>
      </w:r>
      <w:r>
        <w:rPr>
          <w:rFonts w:hint="eastAsia" w:ascii="仿宋_GB2312" w:eastAsia="仿宋_GB2312"/>
          <w:color w:val="000000"/>
          <w:sz w:val="32"/>
          <w:szCs w:val="32"/>
        </w:rPr>
        <w:t>，降低3.</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%，主要原因是人员调整。</w:t>
      </w:r>
    </w:p>
    <w:p>
      <w:pPr>
        <w:ind w:firstLine="643" w:firstLineChars="200"/>
        <w:rPr>
          <w:rFonts w:ascii="楷体_GB2312" w:eastAsia="楷体_GB2312"/>
          <w:b/>
          <w:color w:val="000000"/>
          <w:sz w:val="32"/>
          <w:szCs w:val="32"/>
        </w:rPr>
      </w:pPr>
      <w:r>
        <w:rPr>
          <w:rFonts w:hint="eastAsia" w:ascii="楷体_GB2312" w:eastAsia="楷体_GB2312"/>
          <w:b/>
          <w:color w:val="000000"/>
          <w:sz w:val="32"/>
          <w:szCs w:val="32"/>
        </w:rPr>
        <w:t>（</w:t>
      </w:r>
      <w:r>
        <w:rPr>
          <w:rFonts w:hint="eastAsia" w:ascii="楷体_GB2312" w:eastAsia="楷体_GB2312"/>
          <w:b/>
          <w:color w:val="000000"/>
          <w:sz w:val="32"/>
          <w:szCs w:val="32"/>
          <w:lang w:eastAsia="zh-CN"/>
        </w:rPr>
        <w:t>三</w:t>
      </w:r>
      <w:r>
        <w:rPr>
          <w:rFonts w:ascii="楷体_GB2312" w:eastAsia="楷体_GB2312"/>
          <w:b/>
          <w:color w:val="000000"/>
          <w:sz w:val="32"/>
          <w:szCs w:val="32"/>
        </w:rPr>
        <w:t xml:space="preserve">）政府采购情况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2022年本部门无政府采购预算。</w:t>
      </w:r>
    </w:p>
    <w:p>
      <w:pPr>
        <w:ind w:firstLine="643" w:firstLineChars="200"/>
        <w:rPr>
          <w:rFonts w:ascii="楷体_GB2312" w:eastAsia="楷体_GB2312"/>
          <w:b/>
          <w:color w:val="000000"/>
          <w:sz w:val="32"/>
          <w:szCs w:val="32"/>
        </w:rPr>
      </w:pPr>
      <w:r>
        <w:rPr>
          <w:rFonts w:hint="eastAsia" w:ascii="楷体_GB2312" w:eastAsia="楷体_GB2312"/>
          <w:b/>
          <w:color w:val="000000"/>
          <w:sz w:val="32"/>
          <w:szCs w:val="32"/>
        </w:rPr>
        <w:t>（</w:t>
      </w:r>
      <w:r>
        <w:rPr>
          <w:rFonts w:hint="eastAsia" w:ascii="楷体_GB2312" w:eastAsia="楷体_GB2312"/>
          <w:b/>
          <w:color w:val="000000"/>
          <w:sz w:val="32"/>
          <w:szCs w:val="32"/>
          <w:lang w:eastAsia="zh-CN"/>
        </w:rPr>
        <w:t>四</w:t>
      </w:r>
      <w:r>
        <w:rPr>
          <w:rFonts w:ascii="楷体_GB2312" w:eastAsia="楷体_GB2312"/>
          <w:b/>
          <w:color w:val="000000"/>
          <w:sz w:val="32"/>
          <w:szCs w:val="32"/>
        </w:rPr>
        <w:t xml:space="preserve">）预算绩效情况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按照预算和</w:t>
      </w:r>
      <w:r>
        <w:rPr>
          <w:rFonts w:ascii="仿宋_GB2312" w:eastAsia="仿宋_GB2312"/>
          <w:color w:val="000000"/>
          <w:sz w:val="32"/>
          <w:szCs w:val="32"/>
        </w:rPr>
        <w:t>绩效管理一体化</w:t>
      </w:r>
      <w:r>
        <w:rPr>
          <w:rFonts w:hint="eastAsia" w:ascii="仿宋_GB2312" w:eastAsia="仿宋_GB2312"/>
          <w:color w:val="000000"/>
          <w:sz w:val="32"/>
          <w:szCs w:val="32"/>
        </w:rPr>
        <w:t>原则，本部门共计编制项目绩效目标10个，预算金额</w:t>
      </w: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327.51</w:t>
      </w:r>
      <w:r>
        <w:rPr>
          <w:rFonts w:hint="eastAsia" w:ascii="仿宋_GB2312" w:eastAsia="仿宋_GB2312"/>
          <w:color w:val="000000"/>
          <w:sz w:val="32"/>
          <w:szCs w:val="32"/>
        </w:rPr>
        <w:t>万元，占本部门项目支出预算比重</w:t>
      </w:r>
      <w:r>
        <w:rPr>
          <w:rFonts w:ascii="仿宋_GB2312" w:eastAsia="仿宋_GB2312"/>
          <w:color w:val="000000"/>
          <w:sz w:val="32"/>
          <w:szCs w:val="32"/>
        </w:rPr>
        <w:t>100%</w:t>
      </w:r>
      <w:r>
        <w:rPr>
          <w:rFonts w:hint="eastAsia" w:ascii="仿宋_GB2312" w:eastAsia="仿宋_GB2312"/>
          <w:color w:val="000000"/>
          <w:sz w:val="32"/>
          <w:szCs w:val="32"/>
        </w:rPr>
        <w:t>。</w:t>
      </w:r>
    </w:p>
    <w:p>
      <w:pPr>
        <w:ind w:firstLine="643" w:firstLineChars="200"/>
        <w:rPr>
          <w:rFonts w:ascii="楷体_GB2312" w:eastAsia="楷体_GB2312"/>
          <w:b/>
          <w:color w:val="000000"/>
          <w:sz w:val="32"/>
          <w:szCs w:val="32"/>
        </w:rPr>
      </w:pPr>
      <w:r>
        <w:rPr>
          <w:rFonts w:hint="eastAsia" w:ascii="楷体_GB2312" w:eastAsia="楷体_GB2312"/>
          <w:b/>
          <w:color w:val="000000"/>
          <w:sz w:val="32"/>
          <w:szCs w:val="32"/>
        </w:rPr>
        <w:t>（</w:t>
      </w:r>
      <w:r>
        <w:rPr>
          <w:rFonts w:hint="eastAsia" w:ascii="楷体_GB2312" w:eastAsia="楷体_GB2312"/>
          <w:b/>
          <w:color w:val="000000"/>
          <w:sz w:val="32"/>
          <w:szCs w:val="32"/>
          <w:lang w:eastAsia="zh-CN"/>
        </w:rPr>
        <w:t>五</w:t>
      </w:r>
      <w:r>
        <w:rPr>
          <w:rFonts w:ascii="楷体_GB2312" w:eastAsia="楷体_GB2312"/>
          <w:b/>
          <w:color w:val="000000"/>
          <w:sz w:val="32"/>
          <w:szCs w:val="32"/>
        </w:rPr>
        <w:t>）</w:t>
      </w:r>
      <w:r>
        <w:rPr>
          <w:rFonts w:hint="eastAsia" w:ascii="楷体_GB2312" w:eastAsia="楷体_GB2312"/>
          <w:b/>
          <w:color w:val="000000"/>
          <w:sz w:val="32"/>
          <w:szCs w:val="32"/>
        </w:rPr>
        <w:t>国有资产占有使用情况</w:t>
      </w:r>
    </w:p>
    <w:p>
      <w:pPr>
        <w:ind w:firstLine="645"/>
        <w:jc w:val="left"/>
        <w:rPr>
          <w:rFonts w:eastAsia="仿宋_GB2312"/>
          <w:color w:val="000000"/>
          <w:sz w:val="32"/>
          <w:szCs w:val="32"/>
        </w:rPr>
      </w:pPr>
      <w:r>
        <w:rPr>
          <w:rFonts w:eastAsia="仿宋_GB2312"/>
          <w:color w:val="000000"/>
          <w:sz w:val="32"/>
          <w:szCs w:val="32"/>
        </w:rPr>
        <w:t>截至2021年12月31日，</w:t>
      </w:r>
      <w:r>
        <w:rPr>
          <w:rFonts w:hint="eastAsia" w:eastAsia="仿宋_GB2312"/>
          <w:color w:val="000000"/>
          <w:sz w:val="32"/>
          <w:szCs w:val="32"/>
        </w:rPr>
        <w:t>本部门</w:t>
      </w:r>
      <w:r>
        <w:rPr>
          <w:rFonts w:eastAsia="仿宋_GB2312"/>
          <w:color w:val="000000"/>
          <w:sz w:val="32"/>
          <w:szCs w:val="32"/>
        </w:rPr>
        <w:t>共有车辆</w:t>
      </w:r>
      <w:r>
        <w:rPr>
          <w:rFonts w:hint="eastAsia" w:ascii="仿宋_GB2312" w:eastAsia="仿宋_GB2312"/>
          <w:color w:val="000000"/>
          <w:sz w:val="32"/>
          <w:szCs w:val="32"/>
        </w:rPr>
        <w:t>5</w:t>
      </w:r>
      <w:r>
        <w:rPr>
          <w:rFonts w:eastAsia="仿宋_GB2312"/>
          <w:color w:val="000000"/>
          <w:sz w:val="32"/>
          <w:szCs w:val="32"/>
        </w:rPr>
        <w:t>辆，其中，</w:t>
      </w:r>
      <w:r>
        <w:rPr>
          <w:rFonts w:hint="eastAsia" w:ascii="仿宋_GB2312" w:hAnsi="宋体" w:eastAsia="仿宋_GB2312" w:cs="Arial"/>
          <w:color w:val="000000"/>
          <w:kern w:val="0"/>
          <w:sz w:val="32"/>
          <w:szCs w:val="32"/>
        </w:rPr>
        <w:t>副部（省）级及以上领导用车</w:t>
      </w:r>
      <w:r>
        <w:rPr>
          <w:rFonts w:hint="eastAsia" w:ascii="仿宋_GB2312" w:eastAsia="仿宋_GB2312"/>
          <w:color w:val="000000"/>
          <w:sz w:val="32"/>
          <w:szCs w:val="32"/>
        </w:rPr>
        <w:t>0</w:t>
      </w:r>
      <w:r>
        <w:rPr>
          <w:rFonts w:eastAsia="仿宋_GB2312"/>
          <w:color w:val="000000"/>
          <w:sz w:val="32"/>
          <w:szCs w:val="32"/>
        </w:rPr>
        <w:t>辆</w:t>
      </w:r>
      <w:r>
        <w:rPr>
          <w:rFonts w:hint="eastAsia" w:ascii="仿宋_GB2312" w:hAnsi="宋体" w:eastAsia="仿宋_GB2312" w:cs="Arial"/>
          <w:color w:val="000000"/>
          <w:kern w:val="0"/>
          <w:sz w:val="32"/>
          <w:szCs w:val="32"/>
        </w:rPr>
        <w:t>，主要领导干部用车</w:t>
      </w:r>
      <w:r>
        <w:rPr>
          <w:rFonts w:hint="eastAsia" w:ascii="仿宋_GB2312" w:eastAsia="仿宋_GB2312"/>
          <w:color w:val="000000"/>
          <w:sz w:val="32"/>
          <w:szCs w:val="32"/>
        </w:rPr>
        <w:t>0</w:t>
      </w:r>
      <w:r>
        <w:rPr>
          <w:rFonts w:eastAsia="仿宋_GB2312"/>
          <w:color w:val="000000"/>
          <w:sz w:val="32"/>
          <w:szCs w:val="32"/>
        </w:rPr>
        <w:t>辆</w:t>
      </w:r>
      <w:r>
        <w:rPr>
          <w:rFonts w:hint="eastAsia" w:ascii="仿宋_GB2312" w:hAnsi="宋体" w:eastAsia="仿宋_GB2312" w:cs="Arial"/>
          <w:color w:val="000000"/>
          <w:kern w:val="0"/>
          <w:sz w:val="32"/>
          <w:szCs w:val="32"/>
        </w:rPr>
        <w:t>，机要通信用车</w:t>
      </w:r>
      <w:r>
        <w:rPr>
          <w:rFonts w:hint="eastAsia" w:ascii="仿宋_GB2312" w:eastAsia="仿宋_GB2312"/>
          <w:color w:val="000000"/>
          <w:sz w:val="32"/>
          <w:szCs w:val="32"/>
        </w:rPr>
        <w:t>0</w:t>
      </w:r>
      <w:r>
        <w:rPr>
          <w:rFonts w:eastAsia="仿宋_GB2312"/>
          <w:color w:val="000000"/>
          <w:sz w:val="32"/>
          <w:szCs w:val="32"/>
        </w:rPr>
        <w:t>辆</w:t>
      </w:r>
      <w:r>
        <w:rPr>
          <w:rFonts w:hint="eastAsia" w:eastAsia="仿宋_GB2312"/>
          <w:color w:val="000000"/>
          <w:sz w:val="32"/>
          <w:szCs w:val="32"/>
        </w:rPr>
        <w:t>，</w:t>
      </w:r>
      <w:r>
        <w:rPr>
          <w:rFonts w:hint="eastAsia" w:ascii="仿宋_GB2312" w:hAnsi="宋体" w:eastAsia="仿宋_GB2312" w:cs="Arial"/>
          <w:color w:val="000000"/>
          <w:kern w:val="0"/>
          <w:sz w:val="32"/>
          <w:szCs w:val="32"/>
        </w:rPr>
        <w:t>应急保障用车</w:t>
      </w:r>
      <w:r>
        <w:rPr>
          <w:rFonts w:hint="eastAsia" w:ascii="仿宋_GB2312" w:eastAsia="仿宋_GB2312"/>
          <w:color w:val="000000"/>
          <w:sz w:val="32"/>
          <w:szCs w:val="32"/>
        </w:rPr>
        <w:t>0</w:t>
      </w:r>
      <w:r>
        <w:rPr>
          <w:rFonts w:eastAsia="仿宋_GB2312"/>
          <w:color w:val="000000"/>
          <w:sz w:val="32"/>
          <w:szCs w:val="32"/>
        </w:rPr>
        <w:t>辆</w:t>
      </w:r>
      <w:r>
        <w:rPr>
          <w:rFonts w:hint="eastAsia" w:ascii="仿宋_GB2312" w:eastAsia="仿宋_GB2312"/>
          <w:color w:val="000000"/>
          <w:sz w:val="32"/>
          <w:szCs w:val="32"/>
        </w:rPr>
        <w:t>, 执法执勤用车0</w:t>
      </w:r>
      <w:r>
        <w:rPr>
          <w:rFonts w:eastAsia="仿宋_GB2312"/>
          <w:color w:val="000000"/>
          <w:sz w:val="32"/>
          <w:szCs w:val="32"/>
        </w:rPr>
        <w:t>辆</w:t>
      </w:r>
      <w:r>
        <w:rPr>
          <w:rFonts w:hint="eastAsia" w:ascii="仿宋_GB2312" w:eastAsia="仿宋_GB2312"/>
          <w:color w:val="000000"/>
          <w:sz w:val="32"/>
          <w:szCs w:val="32"/>
        </w:rPr>
        <w:t>，特种专业技术用车0</w:t>
      </w:r>
      <w:r>
        <w:rPr>
          <w:rFonts w:eastAsia="仿宋_GB2312"/>
          <w:color w:val="000000"/>
          <w:sz w:val="32"/>
          <w:szCs w:val="32"/>
        </w:rPr>
        <w:t>辆</w:t>
      </w:r>
      <w:r>
        <w:rPr>
          <w:rFonts w:hint="eastAsia" w:ascii="仿宋_GB2312" w:eastAsia="仿宋_GB2312"/>
          <w:color w:val="000000"/>
          <w:sz w:val="32"/>
          <w:szCs w:val="32"/>
        </w:rPr>
        <w:t>，离退休干部用车0</w:t>
      </w:r>
      <w:r>
        <w:rPr>
          <w:rFonts w:eastAsia="仿宋_GB2312"/>
          <w:color w:val="000000"/>
          <w:sz w:val="32"/>
          <w:szCs w:val="32"/>
        </w:rPr>
        <w:t>辆</w:t>
      </w:r>
      <w:r>
        <w:rPr>
          <w:rFonts w:hint="eastAsia" w:eastAsia="仿宋_GB2312"/>
          <w:color w:val="000000"/>
          <w:sz w:val="32"/>
          <w:szCs w:val="32"/>
        </w:rPr>
        <w:t>，</w:t>
      </w:r>
      <w:r>
        <w:rPr>
          <w:rFonts w:hint="eastAsia" w:ascii="仿宋_GB2312" w:eastAsia="仿宋_GB2312"/>
          <w:color w:val="000000"/>
          <w:sz w:val="32"/>
          <w:szCs w:val="32"/>
        </w:rPr>
        <w:t>其他用车5</w:t>
      </w:r>
      <w:r>
        <w:rPr>
          <w:rFonts w:eastAsia="仿宋_GB2312"/>
          <w:color w:val="000000"/>
          <w:sz w:val="32"/>
          <w:szCs w:val="32"/>
        </w:rPr>
        <w:t>辆</w:t>
      </w:r>
      <w:r>
        <w:rPr>
          <w:rFonts w:hint="eastAsia" w:eastAsia="仿宋_GB2312"/>
          <w:color w:val="000000"/>
          <w:sz w:val="32"/>
          <w:szCs w:val="32"/>
        </w:rPr>
        <w:t>，</w:t>
      </w:r>
      <w:r>
        <w:rPr>
          <w:rFonts w:hint="eastAsia" w:ascii="仿宋_GB2312" w:hAnsi="宋体" w:eastAsia="仿宋_GB2312" w:cs="Arial"/>
          <w:color w:val="000000"/>
          <w:kern w:val="0"/>
          <w:sz w:val="32"/>
          <w:szCs w:val="32"/>
        </w:rPr>
        <w:t>其他用车主要是资产账面待处理车辆。</w:t>
      </w:r>
      <w:r>
        <w:rPr>
          <w:rFonts w:ascii="仿宋_GB2312" w:hAnsi="宋体" w:eastAsia="仿宋_GB2312" w:cs="Arial"/>
          <w:color w:val="000000"/>
          <w:kern w:val="0"/>
          <w:sz w:val="32"/>
          <w:szCs w:val="32"/>
        </w:rPr>
        <w:t>单位价值50万元</w:t>
      </w:r>
      <w:r>
        <w:rPr>
          <w:rFonts w:hint="eastAsia" w:ascii="仿宋_GB2312" w:hAnsi="宋体" w:eastAsia="仿宋_GB2312" w:cs="Arial"/>
          <w:color w:val="000000"/>
          <w:kern w:val="0"/>
          <w:sz w:val="32"/>
          <w:szCs w:val="32"/>
        </w:rPr>
        <w:t>（含</w:t>
      </w:r>
      <w:r>
        <w:rPr>
          <w:rFonts w:ascii="仿宋_GB2312" w:hAnsi="宋体" w:eastAsia="仿宋_GB2312" w:cs="Arial"/>
          <w:color w:val="000000"/>
          <w:kern w:val="0"/>
          <w:sz w:val="32"/>
          <w:szCs w:val="32"/>
        </w:rPr>
        <w:t>）以上通用设备</w:t>
      </w:r>
      <w:r>
        <w:rPr>
          <w:rFonts w:hint="eastAsia" w:ascii="仿宋_GB2312" w:hAnsi="宋体" w:eastAsia="仿宋_GB2312" w:cs="Arial"/>
          <w:color w:val="000000"/>
          <w:kern w:val="0"/>
          <w:sz w:val="32"/>
          <w:szCs w:val="32"/>
        </w:rPr>
        <w:t>0</w:t>
      </w:r>
      <w:r>
        <w:rPr>
          <w:rFonts w:ascii="仿宋_GB2312" w:hAnsi="宋体" w:eastAsia="仿宋_GB2312" w:cs="Arial"/>
          <w:color w:val="000000"/>
          <w:kern w:val="0"/>
          <w:sz w:val="32"/>
          <w:szCs w:val="32"/>
        </w:rPr>
        <w:t>台（套），单位价值100</w:t>
      </w:r>
      <w:r>
        <w:rPr>
          <w:rFonts w:eastAsia="仿宋_GB2312"/>
          <w:color w:val="000000"/>
          <w:sz w:val="32"/>
          <w:szCs w:val="32"/>
        </w:rPr>
        <w:t>万元以上专用设备</w:t>
      </w:r>
      <w:r>
        <w:rPr>
          <w:rFonts w:hint="eastAsia" w:ascii="仿宋_GB2312" w:eastAsia="仿宋_GB2312"/>
          <w:color w:val="000000"/>
          <w:sz w:val="32"/>
          <w:szCs w:val="32"/>
        </w:rPr>
        <w:t>0</w:t>
      </w:r>
      <w:r>
        <w:rPr>
          <w:rFonts w:eastAsia="仿宋_GB2312"/>
          <w:color w:val="000000"/>
          <w:sz w:val="32"/>
          <w:szCs w:val="32"/>
        </w:rPr>
        <w:t>台（套）。</w:t>
      </w: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rPr>
          <w:rFonts w:ascii="楷体_GB2312" w:eastAsia="楷体_GB2312"/>
          <w:color w:val="FF0000"/>
          <w:sz w:val="44"/>
          <w:szCs w:val="44"/>
        </w:rPr>
      </w:pPr>
    </w:p>
    <w:p>
      <w:pPr>
        <w:jc w:val="center"/>
        <w:rPr>
          <w:rFonts w:ascii="楷体_GB2312" w:eastAsia="楷体_GB2312"/>
          <w:color w:val="000000" w:themeColor="text1"/>
          <w:sz w:val="44"/>
          <w:szCs w:val="44"/>
        </w:rPr>
      </w:pPr>
      <w:r>
        <w:rPr>
          <w:rFonts w:hint="eastAsia" w:ascii="楷体_GB2312" w:eastAsia="楷体_GB2312"/>
          <w:color w:val="000000" w:themeColor="text1"/>
          <w:sz w:val="44"/>
          <w:szCs w:val="44"/>
        </w:rPr>
        <w:t>第四部分  名词解释</w:t>
      </w:r>
    </w:p>
    <w:p>
      <w:pPr>
        <w:jc w:val="center"/>
        <w:rPr>
          <w:rFonts w:ascii="楷体_GB2312" w:eastAsia="楷体_GB2312"/>
          <w:color w:val="000000" w:themeColor="text1"/>
          <w:sz w:val="44"/>
          <w:szCs w:val="44"/>
        </w:rPr>
      </w:pPr>
    </w:p>
    <w:p>
      <w:pPr>
        <w:widowControl/>
        <w:ind w:firstLine="640"/>
        <w:jc w:val="left"/>
        <w:rPr>
          <w:rFonts w:ascii="仿宋_GB2312" w:hAnsi="Arial" w:eastAsia="仿宋_GB2312" w:cs="Arial"/>
          <w:color w:val="000000" w:themeColor="text1"/>
          <w:kern w:val="0"/>
          <w:sz w:val="18"/>
          <w:szCs w:val="18"/>
        </w:rPr>
      </w:pPr>
      <w:r>
        <w:rPr>
          <w:rFonts w:hint="eastAsia" w:ascii="仿宋_GB2312" w:hAnsi="Arial" w:eastAsia="仿宋_GB2312" w:cs="Arial"/>
          <w:b/>
          <w:bCs/>
          <w:color w:val="000000" w:themeColor="text1"/>
          <w:kern w:val="0"/>
          <w:sz w:val="32"/>
          <w:szCs w:val="32"/>
        </w:rPr>
        <w:t>1.财政拨款收入：</w:t>
      </w:r>
      <w:r>
        <w:rPr>
          <w:rFonts w:hint="eastAsia" w:ascii="仿宋_GB2312" w:hAnsi="Arial" w:eastAsia="仿宋_GB2312" w:cs="Arial"/>
          <w:color w:val="000000" w:themeColor="text1"/>
          <w:kern w:val="0"/>
          <w:sz w:val="32"/>
          <w:szCs w:val="32"/>
        </w:rPr>
        <w:t>指区本级财政当年拨付的资金。</w:t>
      </w:r>
    </w:p>
    <w:p>
      <w:pPr>
        <w:widowControl/>
        <w:ind w:firstLine="640"/>
        <w:jc w:val="left"/>
        <w:rPr>
          <w:rFonts w:ascii="仿宋_GB2312" w:hAnsi="Arial" w:eastAsia="仿宋_GB2312" w:cs="Arial"/>
          <w:color w:val="000000" w:themeColor="text1"/>
          <w:kern w:val="0"/>
          <w:sz w:val="18"/>
          <w:szCs w:val="18"/>
        </w:rPr>
      </w:pPr>
      <w:r>
        <w:rPr>
          <w:rFonts w:hint="eastAsia" w:ascii="仿宋_GB2312" w:hAnsi="Arial" w:eastAsia="仿宋_GB2312" w:cs="Arial"/>
          <w:b/>
          <w:bCs/>
          <w:color w:val="000000" w:themeColor="text1"/>
          <w:kern w:val="0"/>
          <w:sz w:val="32"/>
          <w:szCs w:val="32"/>
        </w:rPr>
        <w:t>2.其他收入：</w:t>
      </w:r>
      <w:r>
        <w:rPr>
          <w:rFonts w:hint="eastAsia" w:ascii="仿宋_GB2312" w:hAnsi="Arial" w:eastAsia="仿宋_GB2312" w:cs="Arial"/>
          <w:color w:val="000000" w:themeColor="text1"/>
          <w:kern w:val="0"/>
          <w:sz w:val="32"/>
          <w:szCs w:val="32"/>
        </w:rPr>
        <w:t>指除“财政拨款收入”、“上级补助收入”、“事业收入”、“经营性收入”、“附属单位上缴收入”以外的收入。</w:t>
      </w:r>
    </w:p>
    <w:p>
      <w:pPr>
        <w:widowControl/>
        <w:ind w:firstLine="640"/>
        <w:jc w:val="left"/>
        <w:rPr>
          <w:rFonts w:ascii="仿宋_GB2312" w:hAnsi="Arial" w:eastAsia="仿宋_GB2312" w:cs="Arial"/>
          <w:color w:val="000000" w:themeColor="text1"/>
          <w:kern w:val="0"/>
          <w:sz w:val="18"/>
          <w:szCs w:val="18"/>
        </w:rPr>
      </w:pPr>
      <w:r>
        <w:rPr>
          <w:rFonts w:hint="eastAsia" w:ascii="仿宋_GB2312" w:hAnsi="Arial" w:eastAsia="仿宋_GB2312" w:cs="Arial"/>
          <w:b/>
          <w:bCs/>
          <w:color w:val="000000" w:themeColor="text1"/>
          <w:kern w:val="0"/>
          <w:sz w:val="32"/>
          <w:szCs w:val="32"/>
        </w:rPr>
        <w:t>3.基本支出：</w:t>
      </w:r>
      <w:r>
        <w:rPr>
          <w:rFonts w:hint="eastAsia" w:ascii="仿宋_GB2312" w:hAnsi="Arial" w:eastAsia="仿宋_GB2312" w:cs="Arial"/>
          <w:color w:val="000000" w:themeColor="text1"/>
          <w:kern w:val="0"/>
          <w:sz w:val="32"/>
          <w:szCs w:val="32"/>
        </w:rPr>
        <w:t>指为保障机构正常运转、完成日常工作任务而发生的人员支出和公用支出。</w:t>
      </w:r>
    </w:p>
    <w:p>
      <w:pPr>
        <w:widowControl/>
        <w:ind w:firstLine="640"/>
        <w:jc w:val="left"/>
        <w:rPr>
          <w:rFonts w:ascii="仿宋_GB2312" w:hAnsi="Arial" w:eastAsia="仿宋_GB2312" w:cs="Arial"/>
          <w:color w:val="000000" w:themeColor="text1"/>
          <w:kern w:val="0"/>
          <w:sz w:val="18"/>
          <w:szCs w:val="18"/>
        </w:rPr>
      </w:pPr>
      <w:r>
        <w:rPr>
          <w:rFonts w:hint="eastAsia" w:ascii="仿宋_GB2312" w:hAnsi="Arial" w:eastAsia="仿宋_GB2312" w:cs="Arial"/>
          <w:b/>
          <w:bCs/>
          <w:color w:val="000000" w:themeColor="text1"/>
          <w:kern w:val="0"/>
          <w:sz w:val="32"/>
          <w:szCs w:val="32"/>
        </w:rPr>
        <w:t>4.项目支出：</w:t>
      </w:r>
      <w:r>
        <w:rPr>
          <w:rFonts w:hint="eastAsia" w:ascii="仿宋_GB2312" w:hAnsi="Arial" w:eastAsia="仿宋_GB2312" w:cs="Arial"/>
          <w:color w:val="000000" w:themeColor="text1"/>
          <w:kern w:val="0"/>
          <w:sz w:val="32"/>
          <w:szCs w:val="32"/>
        </w:rPr>
        <w:t>指在基本支出之外为完成特定行政任务和事业发展目标所发生的支出。</w:t>
      </w:r>
    </w:p>
    <w:p>
      <w:pPr>
        <w:widowControl/>
        <w:ind w:firstLine="640"/>
        <w:jc w:val="left"/>
        <w:rPr>
          <w:rFonts w:ascii="仿宋_GB2312" w:hAnsi="Arial" w:eastAsia="仿宋_GB2312" w:cs="Arial"/>
          <w:color w:val="000000" w:themeColor="text1"/>
          <w:kern w:val="0"/>
          <w:sz w:val="18"/>
          <w:szCs w:val="18"/>
        </w:rPr>
      </w:pPr>
      <w:r>
        <w:rPr>
          <w:rFonts w:hint="eastAsia" w:ascii="仿宋_GB2312" w:hAnsi="Arial" w:eastAsia="仿宋_GB2312" w:cs="Arial"/>
          <w:b/>
          <w:bCs/>
          <w:color w:val="000000" w:themeColor="text1"/>
          <w:kern w:val="0"/>
          <w:sz w:val="32"/>
          <w:szCs w:val="32"/>
        </w:rPr>
        <w:t>5. 三公”经费：</w:t>
      </w:r>
      <w:r>
        <w:rPr>
          <w:rFonts w:hint="eastAsia" w:ascii="仿宋_GB2312" w:hAnsi="Arial" w:eastAsia="仿宋_GB2312" w:cs="Arial"/>
          <w:color w:val="000000" w:themeColor="text1"/>
          <w:kern w:val="0"/>
          <w:sz w:val="32"/>
          <w:szCs w:val="32"/>
        </w:rPr>
        <w:t>指用财政拨款安排的因公出国（境）费、公务用车购置及运行费和公务接待费。其中，因公出国（境）费反映单位公务出国（境）国际旅费、国外城市间交通费、住宿费、伙食费、公杂费、培训费等支出；公务用车购置及运行费反映单位公务用车购置费以及按规定保留的公务用车燃料费、维修费、过路过桥费、保险费、安全奖励费用等支出；公务接待费反映单位按规定开支的各类公务接待（含外宾接待）支出。</w:t>
      </w:r>
    </w:p>
    <w:p>
      <w:pPr>
        <w:widowControl/>
        <w:ind w:firstLine="640"/>
        <w:jc w:val="left"/>
        <w:rPr>
          <w:rFonts w:ascii="仿宋_GB2312" w:hAnsi="Arial" w:eastAsia="仿宋_GB2312" w:cs="Arial"/>
          <w:color w:val="000000" w:themeColor="text1"/>
          <w:kern w:val="0"/>
          <w:sz w:val="32"/>
          <w:szCs w:val="32"/>
        </w:rPr>
      </w:pPr>
      <w:r>
        <w:rPr>
          <w:rFonts w:hint="eastAsia" w:ascii="仿宋_GB2312" w:hAnsi="Arial" w:eastAsia="仿宋_GB2312" w:cs="Arial"/>
          <w:b/>
          <w:bCs/>
          <w:color w:val="000000" w:themeColor="text1"/>
          <w:kern w:val="0"/>
          <w:sz w:val="32"/>
          <w:szCs w:val="32"/>
        </w:rPr>
        <w:t>6.一般公共服务（类）财政事务（款）行政运行（项）：</w:t>
      </w:r>
      <w:r>
        <w:rPr>
          <w:rFonts w:hint="eastAsia" w:ascii="仿宋_GB2312" w:hAnsi="Arial" w:eastAsia="仿宋_GB2312" w:cs="Arial"/>
          <w:color w:val="000000" w:themeColor="text1"/>
          <w:kern w:val="0"/>
          <w:sz w:val="32"/>
          <w:szCs w:val="32"/>
        </w:rPr>
        <w:t>反映行政单位的基本支出。</w:t>
      </w:r>
    </w:p>
    <w:p>
      <w:pPr>
        <w:widowControl/>
        <w:ind w:firstLine="640"/>
        <w:jc w:val="left"/>
        <w:rPr>
          <w:rFonts w:ascii="仿宋_GB2312" w:hAnsi="Arial" w:eastAsia="仿宋_GB2312" w:cs="Arial"/>
          <w:color w:val="000000" w:themeColor="text1"/>
          <w:kern w:val="0"/>
          <w:sz w:val="32"/>
          <w:szCs w:val="32"/>
        </w:rPr>
      </w:pPr>
      <w:r>
        <w:rPr>
          <w:rFonts w:hint="eastAsia" w:ascii="仿宋_GB2312" w:hAnsi="Arial" w:eastAsia="仿宋_GB2312" w:cs="Arial"/>
          <w:b/>
          <w:bCs/>
          <w:color w:val="000000" w:themeColor="text1"/>
          <w:kern w:val="0"/>
          <w:sz w:val="32"/>
          <w:szCs w:val="32"/>
        </w:rPr>
        <w:t>7.一般公共服务（类）财政事务（款）一般行政管理事务（项）：</w:t>
      </w:r>
      <w:r>
        <w:rPr>
          <w:rFonts w:hint="eastAsia" w:ascii="仿宋_GB2312" w:hAnsi="Arial" w:eastAsia="仿宋_GB2312" w:cs="Arial"/>
          <w:color w:val="000000" w:themeColor="text1"/>
          <w:kern w:val="0"/>
          <w:sz w:val="32"/>
          <w:szCs w:val="32"/>
        </w:rPr>
        <w:t>反映行政单位未单独设置项级科目的其他项目支出。</w:t>
      </w:r>
    </w:p>
    <w:p>
      <w:pPr>
        <w:widowControl/>
        <w:ind w:firstLine="640"/>
        <w:jc w:val="left"/>
        <w:rPr>
          <w:rFonts w:ascii="仿宋_GB2312" w:hAnsi="Arial" w:eastAsia="仿宋_GB2312" w:cs="Arial"/>
          <w:color w:val="000000" w:themeColor="text1"/>
          <w:kern w:val="0"/>
          <w:sz w:val="32"/>
          <w:szCs w:val="32"/>
        </w:rPr>
      </w:pPr>
      <w:r>
        <w:rPr>
          <w:rFonts w:hint="eastAsia" w:ascii="仿宋_GB2312" w:hAnsi="Arial" w:eastAsia="仿宋_GB2312" w:cs="Arial"/>
          <w:b/>
          <w:bCs/>
          <w:color w:val="000000" w:themeColor="text1"/>
          <w:kern w:val="0"/>
          <w:sz w:val="32"/>
          <w:szCs w:val="32"/>
        </w:rPr>
        <w:t>8. 一般公共服务（类）财政事务（款）其他财政事务支出（项）：</w:t>
      </w:r>
      <w:r>
        <w:rPr>
          <w:rFonts w:hint="eastAsia" w:ascii="仿宋_GB2312" w:hAnsi="Arial" w:eastAsia="仿宋_GB2312" w:cs="Arial"/>
          <w:color w:val="000000" w:themeColor="text1"/>
          <w:kern w:val="0"/>
          <w:sz w:val="32"/>
          <w:szCs w:val="32"/>
        </w:rPr>
        <w:t>反映其他财政事务方面的支出。</w:t>
      </w:r>
    </w:p>
    <w:p>
      <w:pPr>
        <w:widowControl/>
        <w:ind w:firstLine="640"/>
        <w:jc w:val="left"/>
        <w:rPr>
          <w:rFonts w:ascii="仿宋_GB2312" w:hAnsi="Arial" w:eastAsia="仿宋_GB2312" w:cs="Arial"/>
          <w:color w:val="000000" w:themeColor="text1"/>
          <w:kern w:val="0"/>
          <w:sz w:val="32"/>
          <w:szCs w:val="32"/>
        </w:rPr>
      </w:pPr>
      <w:r>
        <w:rPr>
          <w:rFonts w:hint="eastAsia" w:ascii="仿宋_GB2312" w:hAnsi="Arial" w:eastAsia="仿宋_GB2312" w:cs="Arial"/>
          <w:b/>
          <w:bCs/>
          <w:color w:val="000000" w:themeColor="text1"/>
          <w:kern w:val="0"/>
          <w:sz w:val="32"/>
          <w:szCs w:val="32"/>
        </w:rPr>
        <w:t>9.社会保障和就业支出（类）行政事业单位离退休（款）机关事业单位基本养老保险缴费支出（项）：</w:t>
      </w:r>
      <w:r>
        <w:rPr>
          <w:rFonts w:hint="eastAsia" w:ascii="仿宋_GB2312" w:hAnsi="Arial" w:eastAsia="仿宋_GB2312" w:cs="Arial"/>
          <w:color w:val="000000" w:themeColor="text1"/>
          <w:kern w:val="0"/>
          <w:sz w:val="32"/>
          <w:szCs w:val="32"/>
        </w:rPr>
        <w:t>反映机关事业单位实施养老保险制度由单位缴纳的基本养老保险费支出。</w:t>
      </w:r>
    </w:p>
    <w:p>
      <w:pPr>
        <w:ind w:firstLine="643"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b/>
          <w:bCs/>
          <w:color w:val="000000" w:themeColor="text1"/>
          <w:kern w:val="0"/>
          <w:sz w:val="32"/>
          <w:szCs w:val="32"/>
        </w:rPr>
        <w:t>10.卫生健康（类）行政事业单位医疗（款）行政单位医疗（项）：</w:t>
      </w:r>
      <w:r>
        <w:rPr>
          <w:rFonts w:hint="eastAsia" w:ascii="仿宋_GB2312" w:hAnsi="Arial" w:eastAsia="仿宋_GB2312" w:cs="Arial"/>
          <w:color w:val="000000" w:themeColor="text1"/>
          <w:kern w:val="0"/>
          <w:sz w:val="32"/>
          <w:szCs w:val="32"/>
        </w:rPr>
        <w:t>反映财政部门安排的行政单位基本医疗保险缴费经费，未参加医疗保险的行政单位的公费医疗经费，按国家规定享受离休人员、红军老战士待遇人员的医疗经费。</w:t>
      </w:r>
    </w:p>
    <w:p>
      <w:pPr>
        <w:widowControl/>
        <w:ind w:firstLine="640"/>
        <w:jc w:val="left"/>
        <w:rPr>
          <w:rFonts w:ascii="仿宋_GB2312" w:hAnsi="Arial" w:eastAsia="仿宋_GB2312" w:cs="Arial"/>
          <w:color w:val="000000" w:themeColor="text1"/>
          <w:kern w:val="0"/>
          <w:sz w:val="32"/>
          <w:szCs w:val="32"/>
        </w:rPr>
      </w:pPr>
      <w:r>
        <w:rPr>
          <w:rFonts w:hint="eastAsia" w:ascii="仿宋_GB2312" w:hAnsi="Arial" w:eastAsia="仿宋_GB2312" w:cs="Arial"/>
          <w:b/>
          <w:bCs/>
          <w:color w:val="000000" w:themeColor="text1"/>
          <w:kern w:val="0"/>
          <w:sz w:val="32"/>
          <w:szCs w:val="32"/>
        </w:rPr>
        <w:t>11. 卫生健康（类）行政事业单位医疗（款）公务员医疗补助（项）：</w:t>
      </w:r>
      <w:r>
        <w:rPr>
          <w:rFonts w:hint="eastAsia" w:ascii="仿宋_GB2312" w:hAnsi="Arial" w:eastAsia="仿宋_GB2312" w:cs="Arial"/>
          <w:color w:val="000000" w:themeColor="text1"/>
          <w:kern w:val="0"/>
          <w:sz w:val="32"/>
          <w:szCs w:val="32"/>
        </w:rPr>
        <w:t>反映财政部门安排的公务员医疗补助经费。</w:t>
      </w:r>
    </w:p>
    <w:p>
      <w:pPr>
        <w:widowControl/>
        <w:ind w:firstLine="640"/>
        <w:jc w:val="left"/>
        <w:rPr>
          <w:rFonts w:ascii="仿宋_GB2312" w:hAnsi="Arial" w:eastAsia="仿宋_GB2312" w:cs="Arial"/>
          <w:color w:val="000000" w:themeColor="text1"/>
          <w:kern w:val="0"/>
          <w:sz w:val="32"/>
          <w:szCs w:val="32"/>
        </w:rPr>
      </w:pPr>
      <w:r>
        <w:rPr>
          <w:rFonts w:hint="eastAsia" w:ascii="仿宋_GB2312" w:hAnsi="Arial" w:eastAsia="仿宋_GB2312" w:cs="Arial"/>
          <w:b/>
          <w:bCs/>
          <w:color w:val="000000" w:themeColor="text1"/>
          <w:kern w:val="0"/>
          <w:sz w:val="32"/>
          <w:szCs w:val="32"/>
        </w:rPr>
        <w:t>12.社会保障和就业（类）行政事业单位离退休（款）归口管理的行政单位离退休（项）：</w:t>
      </w:r>
      <w:r>
        <w:rPr>
          <w:rFonts w:hint="eastAsia" w:ascii="仿宋_GB2312" w:hAnsi="Arial" w:eastAsia="仿宋_GB2312" w:cs="Arial"/>
          <w:color w:val="000000" w:themeColor="text1"/>
          <w:kern w:val="0"/>
          <w:sz w:val="32"/>
          <w:szCs w:val="32"/>
        </w:rPr>
        <w:t>反映实行归口管理的行政单位开支的离退休经费。</w:t>
      </w:r>
    </w:p>
    <w:p>
      <w:pPr>
        <w:widowControl/>
        <w:ind w:firstLine="640"/>
        <w:jc w:val="left"/>
        <w:rPr>
          <w:rFonts w:ascii="仿宋_GB2312" w:hAnsi="Arial" w:eastAsia="仿宋_GB2312" w:cs="Arial"/>
          <w:color w:val="000000" w:themeColor="text1"/>
          <w:kern w:val="0"/>
          <w:sz w:val="32"/>
          <w:szCs w:val="32"/>
        </w:rPr>
      </w:pPr>
      <w:r>
        <w:rPr>
          <w:rFonts w:hint="eastAsia" w:ascii="仿宋_GB2312" w:hAnsi="Arial" w:eastAsia="仿宋_GB2312" w:cs="Arial"/>
          <w:b/>
          <w:bCs/>
          <w:color w:val="000000" w:themeColor="text1"/>
          <w:kern w:val="0"/>
          <w:sz w:val="32"/>
          <w:szCs w:val="32"/>
        </w:rPr>
        <w:t>13.住房保障（类）住房改革（款）住房公积金（项）：</w:t>
      </w:r>
      <w:r>
        <w:rPr>
          <w:rFonts w:hint="eastAsia" w:ascii="仿宋_GB2312" w:hAnsi="Arial" w:eastAsia="仿宋_GB2312" w:cs="Arial"/>
          <w:color w:val="000000" w:themeColor="text1"/>
          <w:kern w:val="0"/>
          <w:sz w:val="32"/>
          <w:szCs w:val="32"/>
        </w:rPr>
        <w:t>反映行政事业单位按人力资源和社会保障部、财政部规定的基本工资和津贴补贴以及规定比例为职工缴纳的住房公积金</w:t>
      </w:r>
    </w:p>
    <w:p>
      <w:pPr>
        <w:widowControl/>
        <w:ind w:firstLine="640"/>
        <w:jc w:val="left"/>
        <w:rPr>
          <w:rFonts w:ascii="仿宋_GB2312" w:hAnsi="Arial" w:eastAsia="仿宋_GB2312" w:cs="Arial"/>
          <w:color w:val="000000" w:themeColor="text1"/>
          <w:kern w:val="0"/>
          <w:sz w:val="32"/>
          <w:szCs w:val="32"/>
        </w:rPr>
      </w:pPr>
      <w:r>
        <w:rPr>
          <w:rFonts w:hint="eastAsia" w:ascii="仿宋_GB2312" w:hAnsi="Arial" w:eastAsia="仿宋_GB2312" w:cs="Arial"/>
          <w:b/>
          <w:bCs/>
          <w:color w:val="000000" w:themeColor="text1"/>
          <w:kern w:val="0"/>
          <w:sz w:val="32"/>
          <w:szCs w:val="32"/>
        </w:rPr>
        <w:t>14. 绩效目标：</w:t>
      </w:r>
      <w:r>
        <w:rPr>
          <w:rFonts w:ascii="仿宋_GB2312" w:hAnsi="Arial" w:eastAsia="仿宋_GB2312" w:cs="Arial"/>
          <w:color w:val="000000" w:themeColor="text1"/>
          <w:kern w:val="0"/>
          <w:sz w:val="32"/>
          <w:szCs w:val="32"/>
        </w:rPr>
        <w:t>指财政预算资金在一定期限内计划实现的产出和效果。</w:t>
      </w:r>
    </w:p>
    <w:p>
      <w:pPr>
        <w:widowControl/>
        <w:ind w:firstLine="640"/>
        <w:jc w:val="left"/>
        <w:rPr>
          <w:rFonts w:ascii="仿宋_GB2312" w:hAnsi="Arial" w:eastAsia="仿宋_GB2312" w:cs="Arial"/>
          <w:color w:val="000000" w:themeColor="text1"/>
          <w:kern w:val="0"/>
          <w:sz w:val="32"/>
          <w:szCs w:val="32"/>
        </w:rPr>
      </w:pPr>
    </w:p>
    <w:sectPr>
      <w:headerReference r:id="rId3" w:type="default"/>
      <w:footerReference r:id="rId4"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281376"/>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yNzhiNjYzMDg2ODZhYWE2YzNmOTI4ZmIxNTU0YmYifQ=="/>
  </w:docVars>
  <w:rsids>
    <w:rsidRoot w:val="00275083"/>
    <w:rsid w:val="0000000F"/>
    <w:rsid w:val="000034F6"/>
    <w:rsid w:val="000037D3"/>
    <w:rsid w:val="00004869"/>
    <w:rsid w:val="000074AD"/>
    <w:rsid w:val="000103AF"/>
    <w:rsid w:val="000129A5"/>
    <w:rsid w:val="00017360"/>
    <w:rsid w:val="00022A33"/>
    <w:rsid w:val="000252FA"/>
    <w:rsid w:val="000254D2"/>
    <w:rsid w:val="00032762"/>
    <w:rsid w:val="00033EDD"/>
    <w:rsid w:val="00044E2B"/>
    <w:rsid w:val="000537D2"/>
    <w:rsid w:val="00061A49"/>
    <w:rsid w:val="000741D7"/>
    <w:rsid w:val="00074AA2"/>
    <w:rsid w:val="00081A8F"/>
    <w:rsid w:val="00084BA6"/>
    <w:rsid w:val="0008700E"/>
    <w:rsid w:val="0008726B"/>
    <w:rsid w:val="0009770C"/>
    <w:rsid w:val="00097A67"/>
    <w:rsid w:val="000A482A"/>
    <w:rsid w:val="000A7C2A"/>
    <w:rsid w:val="000B15FA"/>
    <w:rsid w:val="000B5D50"/>
    <w:rsid w:val="000C2464"/>
    <w:rsid w:val="000D41FA"/>
    <w:rsid w:val="000D42E1"/>
    <w:rsid w:val="000E06BB"/>
    <w:rsid w:val="000E0D59"/>
    <w:rsid w:val="000E22E7"/>
    <w:rsid w:val="000E4A07"/>
    <w:rsid w:val="000F20D2"/>
    <w:rsid w:val="000F606C"/>
    <w:rsid w:val="000F6CFB"/>
    <w:rsid w:val="001012FA"/>
    <w:rsid w:val="0010455A"/>
    <w:rsid w:val="00104AA7"/>
    <w:rsid w:val="00106D01"/>
    <w:rsid w:val="00106D35"/>
    <w:rsid w:val="00110452"/>
    <w:rsid w:val="00111D46"/>
    <w:rsid w:val="00111EE5"/>
    <w:rsid w:val="00114B70"/>
    <w:rsid w:val="00114EE2"/>
    <w:rsid w:val="001230A7"/>
    <w:rsid w:val="00124969"/>
    <w:rsid w:val="00125A64"/>
    <w:rsid w:val="00136BF1"/>
    <w:rsid w:val="001463CC"/>
    <w:rsid w:val="001528FE"/>
    <w:rsid w:val="001726AB"/>
    <w:rsid w:val="0017713A"/>
    <w:rsid w:val="00180424"/>
    <w:rsid w:val="0018085D"/>
    <w:rsid w:val="00187E46"/>
    <w:rsid w:val="00190A5A"/>
    <w:rsid w:val="00193BC6"/>
    <w:rsid w:val="001A0DDB"/>
    <w:rsid w:val="001A2ED7"/>
    <w:rsid w:val="001A5ECE"/>
    <w:rsid w:val="001B00DD"/>
    <w:rsid w:val="001B26C6"/>
    <w:rsid w:val="001B5B38"/>
    <w:rsid w:val="001B721A"/>
    <w:rsid w:val="001F341A"/>
    <w:rsid w:val="001F35F6"/>
    <w:rsid w:val="001F3EEA"/>
    <w:rsid w:val="002007C7"/>
    <w:rsid w:val="00201443"/>
    <w:rsid w:val="0021132A"/>
    <w:rsid w:val="00212C73"/>
    <w:rsid w:val="002132AC"/>
    <w:rsid w:val="00215E22"/>
    <w:rsid w:val="002161FD"/>
    <w:rsid w:val="002209AE"/>
    <w:rsid w:val="002325A0"/>
    <w:rsid w:val="00234C0D"/>
    <w:rsid w:val="00236709"/>
    <w:rsid w:val="002412A6"/>
    <w:rsid w:val="00261826"/>
    <w:rsid w:val="0026684B"/>
    <w:rsid w:val="00266B17"/>
    <w:rsid w:val="0026725A"/>
    <w:rsid w:val="00270EB4"/>
    <w:rsid w:val="00274242"/>
    <w:rsid w:val="002743BD"/>
    <w:rsid w:val="00275083"/>
    <w:rsid w:val="002820C8"/>
    <w:rsid w:val="002944B9"/>
    <w:rsid w:val="002A2AB4"/>
    <w:rsid w:val="002A408B"/>
    <w:rsid w:val="002A4974"/>
    <w:rsid w:val="002B6279"/>
    <w:rsid w:val="002C0688"/>
    <w:rsid w:val="002C1447"/>
    <w:rsid w:val="002C40A1"/>
    <w:rsid w:val="002D5659"/>
    <w:rsid w:val="002E52F1"/>
    <w:rsid w:val="002F0304"/>
    <w:rsid w:val="002F6074"/>
    <w:rsid w:val="003022EA"/>
    <w:rsid w:val="00304022"/>
    <w:rsid w:val="00306E3F"/>
    <w:rsid w:val="0031177A"/>
    <w:rsid w:val="003142FF"/>
    <w:rsid w:val="00317AA1"/>
    <w:rsid w:val="00322E9F"/>
    <w:rsid w:val="00333550"/>
    <w:rsid w:val="003345AC"/>
    <w:rsid w:val="00334781"/>
    <w:rsid w:val="003353B2"/>
    <w:rsid w:val="00337F8D"/>
    <w:rsid w:val="00340EDD"/>
    <w:rsid w:val="00342906"/>
    <w:rsid w:val="00343BB1"/>
    <w:rsid w:val="00344B2F"/>
    <w:rsid w:val="003505B7"/>
    <w:rsid w:val="00353E89"/>
    <w:rsid w:val="00355E17"/>
    <w:rsid w:val="00380B80"/>
    <w:rsid w:val="00385E8F"/>
    <w:rsid w:val="003913B0"/>
    <w:rsid w:val="00395CBC"/>
    <w:rsid w:val="003B245C"/>
    <w:rsid w:val="003B2AFB"/>
    <w:rsid w:val="003B5BA3"/>
    <w:rsid w:val="003C4C29"/>
    <w:rsid w:val="003D1272"/>
    <w:rsid w:val="003D1310"/>
    <w:rsid w:val="003D13F0"/>
    <w:rsid w:val="003D4511"/>
    <w:rsid w:val="003D7D69"/>
    <w:rsid w:val="003E071C"/>
    <w:rsid w:val="003E0CAC"/>
    <w:rsid w:val="003E16F5"/>
    <w:rsid w:val="003E27EA"/>
    <w:rsid w:val="003E3C92"/>
    <w:rsid w:val="003E3F12"/>
    <w:rsid w:val="003E6125"/>
    <w:rsid w:val="003E7183"/>
    <w:rsid w:val="003F03BB"/>
    <w:rsid w:val="003F63EB"/>
    <w:rsid w:val="00403440"/>
    <w:rsid w:val="00403488"/>
    <w:rsid w:val="00410A2E"/>
    <w:rsid w:val="004114B3"/>
    <w:rsid w:val="00416186"/>
    <w:rsid w:val="0042102B"/>
    <w:rsid w:val="00422F38"/>
    <w:rsid w:val="004254C8"/>
    <w:rsid w:val="00433221"/>
    <w:rsid w:val="00433884"/>
    <w:rsid w:val="00434EB2"/>
    <w:rsid w:val="004355F3"/>
    <w:rsid w:val="00440B61"/>
    <w:rsid w:val="00443362"/>
    <w:rsid w:val="00445565"/>
    <w:rsid w:val="0044661B"/>
    <w:rsid w:val="00452C82"/>
    <w:rsid w:val="004539E5"/>
    <w:rsid w:val="00456C97"/>
    <w:rsid w:val="00460843"/>
    <w:rsid w:val="004612C0"/>
    <w:rsid w:val="0046358F"/>
    <w:rsid w:val="004647F2"/>
    <w:rsid w:val="00475C36"/>
    <w:rsid w:val="0049538F"/>
    <w:rsid w:val="004A2EF2"/>
    <w:rsid w:val="004A431F"/>
    <w:rsid w:val="004B521D"/>
    <w:rsid w:val="004C3D07"/>
    <w:rsid w:val="004C65D3"/>
    <w:rsid w:val="004D2820"/>
    <w:rsid w:val="004D7833"/>
    <w:rsid w:val="004E70B2"/>
    <w:rsid w:val="004F3727"/>
    <w:rsid w:val="004F5C60"/>
    <w:rsid w:val="00501592"/>
    <w:rsid w:val="00504F2A"/>
    <w:rsid w:val="00515BF2"/>
    <w:rsid w:val="00517952"/>
    <w:rsid w:val="00520D00"/>
    <w:rsid w:val="00521C0C"/>
    <w:rsid w:val="0052639A"/>
    <w:rsid w:val="00531341"/>
    <w:rsid w:val="005346A0"/>
    <w:rsid w:val="0053566D"/>
    <w:rsid w:val="00536725"/>
    <w:rsid w:val="00551096"/>
    <w:rsid w:val="0055340F"/>
    <w:rsid w:val="0056260D"/>
    <w:rsid w:val="005653A3"/>
    <w:rsid w:val="00571C41"/>
    <w:rsid w:val="0057214F"/>
    <w:rsid w:val="00572A8E"/>
    <w:rsid w:val="00572B5C"/>
    <w:rsid w:val="00580DD2"/>
    <w:rsid w:val="005914CB"/>
    <w:rsid w:val="00595557"/>
    <w:rsid w:val="005A4041"/>
    <w:rsid w:val="005A79C5"/>
    <w:rsid w:val="005B239B"/>
    <w:rsid w:val="005B3CC2"/>
    <w:rsid w:val="005C0C1B"/>
    <w:rsid w:val="005C7181"/>
    <w:rsid w:val="005D0F22"/>
    <w:rsid w:val="005D0FB4"/>
    <w:rsid w:val="005D1109"/>
    <w:rsid w:val="005D6F53"/>
    <w:rsid w:val="005E4BCA"/>
    <w:rsid w:val="005F5D27"/>
    <w:rsid w:val="005F6846"/>
    <w:rsid w:val="0060006E"/>
    <w:rsid w:val="00611A69"/>
    <w:rsid w:val="00616BB8"/>
    <w:rsid w:val="006235F4"/>
    <w:rsid w:val="00626713"/>
    <w:rsid w:val="00626E42"/>
    <w:rsid w:val="00641019"/>
    <w:rsid w:val="00646640"/>
    <w:rsid w:val="006501A2"/>
    <w:rsid w:val="00652DC9"/>
    <w:rsid w:val="006616CE"/>
    <w:rsid w:val="0066429B"/>
    <w:rsid w:val="0066666A"/>
    <w:rsid w:val="00666735"/>
    <w:rsid w:val="006702C9"/>
    <w:rsid w:val="006732CF"/>
    <w:rsid w:val="0067582E"/>
    <w:rsid w:val="0068110F"/>
    <w:rsid w:val="006924A3"/>
    <w:rsid w:val="006965B9"/>
    <w:rsid w:val="006A5D51"/>
    <w:rsid w:val="006A7C9F"/>
    <w:rsid w:val="006B6B4B"/>
    <w:rsid w:val="006B771E"/>
    <w:rsid w:val="006E311B"/>
    <w:rsid w:val="006E3F25"/>
    <w:rsid w:val="006F63C7"/>
    <w:rsid w:val="00701280"/>
    <w:rsid w:val="00701981"/>
    <w:rsid w:val="00705404"/>
    <w:rsid w:val="00705E28"/>
    <w:rsid w:val="007130B7"/>
    <w:rsid w:val="00713955"/>
    <w:rsid w:val="0072676C"/>
    <w:rsid w:val="00726EBC"/>
    <w:rsid w:val="00727319"/>
    <w:rsid w:val="00730932"/>
    <w:rsid w:val="00730F69"/>
    <w:rsid w:val="00732B9A"/>
    <w:rsid w:val="007455F3"/>
    <w:rsid w:val="00747D31"/>
    <w:rsid w:val="00753F5E"/>
    <w:rsid w:val="00762640"/>
    <w:rsid w:val="007755A5"/>
    <w:rsid w:val="007800F7"/>
    <w:rsid w:val="00780667"/>
    <w:rsid w:val="007810E9"/>
    <w:rsid w:val="00782FFD"/>
    <w:rsid w:val="00787DD8"/>
    <w:rsid w:val="007946E5"/>
    <w:rsid w:val="0079517B"/>
    <w:rsid w:val="007A2705"/>
    <w:rsid w:val="007B0ADD"/>
    <w:rsid w:val="007B15A6"/>
    <w:rsid w:val="007B55F5"/>
    <w:rsid w:val="007C6BB7"/>
    <w:rsid w:val="007C6C2A"/>
    <w:rsid w:val="007D19CE"/>
    <w:rsid w:val="007D6B0C"/>
    <w:rsid w:val="007E5459"/>
    <w:rsid w:val="007E6034"/>
    <w:rsid w:val="007F463A"/>
    <w:rsid w:val="007F54F6"/>
    <w:rsid w:val="00802336"/>
    <w:rsid w:val="0080561D"/>
    <w:rsid w:val="00813137"/>
    <w:rsid w:val="00816088"/>
    <w:rsid w:val="00826036"/>
    <w:rsid w:val="008269A0"/>
    <w:rsid w:val="00832F13"/>
    <w:rsid w:val="00836270"/>
    <w:rsid w:val="00836E9E"/>
    <w:rsid w:val="00845F2F"/>
    <w:rsid w:val="00850B07"/>
    <w:rsid w:val="00850B0A"/>
    <w:rsid w:val="00861F3B"/>
    <w:rsid w:val="00862FB0"/>
    <w:rsid w:val="008849C2"/>
    <w:rsid w:val="008907BD"/>
    <w:rsid w:val="0089091D"/>
    <w:rsid w:val="008926BB"/>
    <w:rsid w:val="008939BB"/>
    <w:rsid w:val="008A07A2"/>
    <w:rsid w:val="008A3130"/>
    <w:rsid w:val="008B01C6"/>
    <w:rsid w:val="008C0511"/>
    <w:rsid w:val="008C27EA"/>
    <w:rsid w:val="008D3DFA"/>
    <w:rsid w:val="008D5CC2"/>
    <w:rsid w:val="008E2104"/>
    <w:rsid w:val="008E381C"/>
    <w:rsid w:val="008E5416"/>
    <w:rsid w:val="008E6E0C"/>
    <w:rsid w:val="008E7E4B"/>
    <w:rsid w:val="008F1B10"/>
    <w:rsid w:val="008F2AE6"/>
    <w:rsid w:val="008F3EC1"/>
    <w:rsid w:val="009032C1"/>
    <w:rsid w:val="0090562E"/>
    <w:rsid w:val="00921CB3"/>
    <w:rsid w:val="009230E1"/>
    <w:rsid w:val="009258D7"/>
    <w:rsid w:val="009425E4"/>
    <w:rsid w:val="009470C1"/>
    <w:rsid w:val="0095448A"/>
    <w:rsid w:val="00956316"/>
    <w:rsid w:val="00963FD5"/>
    <w:rsid w:val="00965339"/>
    <w:rsid w:val="00966081"/>
    <w:rsid w:val="009820F4"/>
    <w:rsid w:val="00982B0A"/>
    <w:rsid w:val="009841C8"/>
    <w:rsid w:val="00994E8F"/>
    <w:rsid w:val="009A08B0"/>
    <w:rsid w:val="009B281E"/>
    <w:rsid w:val="009B6997"/>
    <w:rsid w:val="009C5465"/>
    <w:rsid w:val="009E0D46"/>
    <w:rsid w:val="009E5BDE"/>
    <w:rsid w:val="009E5CEF"/>
    <w:rsid w:val="009E76D9"/>
    <w:rsid w:val="009F181C"/>
    <w:rsid w:val="009F23F1"/>
    <w:rsid w:val="00A02D22"/>
    <w:rsid w:val="00A0727A"/>
    <w:rsid w:val="00A07618"/>
    <w:rsid w:val="00A16F95"/>
    <w:rsid w:val="00A203AF"/>
    <w:rsid w:val="00A2442F"/>
    <w:rsid w:val="00A34F41"/>
    <w:rsid w:val="00A438F5"/>
    <w:rsid w:val="00A43D84"/>
    <w:rsid w:val="00A559ED"/>
    <w:rsid w:val="00A575EC"/>
    <w:rsid w:val="00A57898"/>
    <w:rsid w:val="00A61885"/>
    <w:rsid w:val="00A64855"/>
    <w:rsid w:val="00A64D99"/>
    <w:rsid w:val="00A67B33"/>
    <w:rsid w:val="00A71300"/>
    <w:rsid w:val="00A737B3"/>
    <w:rsid w:val="00A7540F"/>
    <w:rsid w:val="00A76727"/>
    <w:rsid w:val="00A76D55"/>
    <w:rsid w:val="00A77C97"/>
    <w:rsid w:val="00A80868"/>
    <w:rsid w:val="00A8548B"/>
    <w:rsid w:val="00A86B09"/>
    <w:rsid w:val="00A94DE1"/>
    <w:rsid w:val="00A95E55"/>
    <w:rsid w:val="00A9614A"/>
    <w:rsid w:val="00AA0A3A"/>
    <w:rsid w:val="00AB3C25"/>
    <w:rsid w:val="00AB69E3"/>
    <w:rsid w:val="00AC13F9"/>
    <w:rsid w:val="00AC153C"/>
    <w:rsid w:val="00AC708B"/>
    <w:rsid w:val="00AD189F"/>
    <w:rsid w:val="00AE12C8"/>
    <w:rsid w:val="00AE2324"/>
    <w:rsid w:val="00AE626B"/>
    <w:rsid w:val="00AE6EAB"/>
    <w:rsid w:val="00AF4A5D"/>
    <w:rsid w:val="00AF70AD"/>
    <w:rsid w:val="00B005D1"/>
    <w:rsid w:val="00B04355"/>
    <w:rsid w:val="00B04939"/>
    <w:rsid w:val="00B128C4"/>
    <w:rsid w:val="00B15192"/>
    <w:rsid w:val="00B15547"/>
    <w:rsid w:val="00B24888"/>
    <w:rsid w:val="00B3072C"/>
    <w:rsid w:val="00B4466A"/>
    <w:rsid w:val="00B44D5B"/>
    <w:rsid w:val="00B46F20"/>
    <w:rsid w:val="00B50407"/>
    <w:rsid w:val="00B5259F"/>
    <w:rsid w:val="00B5376E"/>
    <w:rsid w:val="00B5377E"/>
    <w:rsid w:val="00B55343"/>
    <w:rsid w:val="00B66CD0"/>
    <w:rsid w:val="00B67600"/>
    <w:rsid w:val="00B73135"/>
    <w:rsid w:val="00B73A00"/>
    <w:rsid w:val="00B74A31"/>
    <w:rsid w:val="00B770E7"/>
    <w:rsid w:val="00B801C7"/>
    <w:rsid w:val="00B90D13"/>
    <w:rsid w:val="00B915C2"/>
    <w:rsid w:val="00B92412"/>
    <w:rsid w:val="00B95321"/>
    <w:rsid w:val="00BA351E"/>
    <w:rsid w:val="00BA7CF4"/>
    <w:rsid w:val="00BB05DF"/>
    <w:rsid w:val="00BB41DF"/>
    <w:rsid w:val="00BC70E0"/>
    <w:rsid w:val="00BC7AF3"/>
    <w:rsid w:val="00BD3ED9"/>
    <w:rsid w:val="00BD5694"/>
    <w:rsid w:val="00BD63FB"/>
    <w:rsid w:val="00BE0591"/>
    <w:rsid w:val="00BE190F"/>
    <w:rsid w:val="00BE3FEA"/>
    <w:rsid w:val="00BE6052"/>
    <w:rsid w:val="00BF49B0"/>
    <w:rsid w:val="00BF5A66"/>
    <w:rsid w:val="00BF60CD"/>
    <w:rsid w:val="00BF7CD3"/>
    <w:rsid w:val="00C0105E"/>
    <w:rsid w:val="00C07C47"/>
    <w:rsid w:val="00C131D7"/>
    <w:rsid w:val="00C14B43"/>
    <w:rsid w:val="00C15DEA"/>
    <w:rsid w:val="00C21F6D"/>
    <w:rsid w:val="00C27862"/>
    <w:rsid w:val="00C326B7"/>
    <w:rsid w:val="00C42291"/>
    <w:rsid w:val="00C428A1"/>
    <w:rsid w:val="00C65089"/>
    <w:rsid w:val="00C67FB6"/>
    <w:rsid w:val="00C70973"/>
    <w:rsid w:val="00C75E26"/>
    <w:rsid w:val="00C76536"/>
    <w:rsid w:val="00C815CC"/>
    <w:rsid w:val="00C85562"/>
    <w:rsid w:val="00C87AD0"/>
    <w:rsid w:val="00CB50F0"/>
    <w:rsid w:val="00CB5D31"/>
    <w:rsid w:val="00CC0743"/>
    <w:rsid w:val="00CC18FD"/>
    <w:rsid w:val="00CC3004"/>
    <w:rsid w:val="00CC5867"/>
    <w:rsid w:val="00CC6AB7"/>
    <w:rsid w:val="00CD35BB"/>
    <w:rsid w:val="00CE19AB"/>
    <w:rsid w:val="00CE2618"/>
    <w:rsid w:val="00CE56C0"/>
    <w:rsid w:val="00CE7077"/>
    <w:rsid w:val="00CF0A4A"/>
    <w:rsid w:val="00CF58CE"/>
    <w:rsid w:val="00D0053D"/>
    <w:rsid w:val="00D10537"/>
    <w:rsid w:val="00D1516A"/>
    <w:rsid w:val="00D22813"/>
    <w:rsid w:val="00D41484"/>
    <w:rsid w:val="00D41C4B"/>
    <w:rsid w:val="00D51A49"/>
    <w:rsid w:val="00D55675"/>
    <w:rsid w:val="00D57C76"/>
    <w:rsid w:val="00D637C6"/>
    <w:rsid w:val="00D6469F"/>
    <w:rsid w:val="00D7215E"/>
    <w:rsid w:val="00D72388"/>
    <w:rsid w:val="00D72CCC"/>
    <w:rsid w:val="00D73391"/>
    <w:rsid w:val="00D8199F"/>
    <w:rsid w:val="00D84737"/>
    <w:rsid w:val="00DA3E6C"/>
    <w:rsid w:val="00DC0A8B"/>
    <w:rsid w:val="00DC2EF3"/>
    <w:rsid w:val="00DC4F13"/>
    <w:rsid w:val="00DC62BA"/>
    <w:rsid w:val="00DD0519"/>
    <w:rsid w:val="00DD09CD"/>
    <w:rsid w:val="00DD2252"/>
    <w:rsid w:val="00DD3E2D"/>
    <w:rsid w:val="00DD4B11"/>
    <w:rsid w:val="00DE3401"/>
    <w:rsid w:val="00DF637B"/>
    <w:rsid w:val="00DF7740"/>
    <w:rsid w:val="00E0192A"/>
    <w:rsid w:val="00E03D3C"/>
    <w:rsid w:val="00E0540C"/>
    <w:rsid w:val="00E13778"/>
    <w:rsid w:val="00E15BA9"/>
    <w:rsid w:val="00E15C89"/>
    <w:rsid w:val="00E2116C"/>
    <w:rsid w:val="00E23923"/>
    <w:rsid w:val="00E27162"/>
    <w:rsid w:val="00E3236E"/>
    <w:rsid w:val="00E36CE7"/>
    <w:rsid w:val="00E376EB"/>
    <w:rsid w:val="00E37870"/>
    <w:rsid w:val="00E4261F"/>
    <w:rsid w:val="00E53D0C"/>
    <w:rsid w:val="00E66FB1"/>
    <w:rsid w:val="00E71D70"/>
    <w:rsid w:val="00E724F3"/>
    <w:rsid w:val="00E7638E"/>
    <w:rsid w:val="00E83FBC"/>
    <w:rsid w:val="00E935F5"/>
    <w:rsid w:val="00E9705C"/>
    <w:rsid w:val="00EA3ADE"/>
    <w:rsid w:val="00EC0167"/>
    <w:rsid w:val="00EC06A2"/>
    <w:rsid w:val="00EC396A"/>
    <w:rsid w:val="00EC5939"/>
    <w:rsid w:val="00ED27A8"/>
    <w:rsid w:val="00ED6090"/>
    <w:rsid w:val="00EE35E2"/>
    <w:rsid w:val="00EF1F0E"/>
    <w:rsid w:val="00EF334C"/>
    <w:rsid w:val="00F01214"/>
    <w:rsid w:val="00F01512"/>
    <w:rsid w:val="00F0397B"/>
    <w:rsid w:val="00F11ED2"/>
    <w:rsid w:val="00F26E43"/>
    <w:rsid w:val="00F279D7"/>
    <w:rsid w:val="00F353DD"/>
    <w:rsid w:val="00F35D97"/>
    <w:rsid w:val="00F3680C"/>
    <w:rsid w:val="00F37E8A"/>
    <w:rsid w:val="00F44F30"/>
    <w:rsid w:val="00F6212B"/>
    <w:rsid w:val="00F64B92"/>
    <w:rsid w:val="00F65B55"/>
    <w:rsid w:val="00F65BAB"/>
    <w:rsid w:val="00F66FD7"/>
    <w:rsid w:val="00F7600D"/>
    <w:rsid w:val="00F82D87"/>
    <w:rsid w:val="00F845BA"/>
    <w:rsid w:val="00F853DB"/>
    <w:rsid w:val="00F926B7"/>
    <w:rsid w:val="00F94E6D"/>
    <w:rsid w:val="00F97030"/>
    <w:rsid w:val="00FA3338"/>
    <w:rsid w:val="00FB16C6"/>
    <w:rsid w:val="00FB2431"/>
    <w:rsid w:val="00FB3ADB"/>
    <w:rsid w:val="00FB5A7C"/>
    <w:rsid w:val="00FC0ABB"/>
    <w:rsid w:val="00FC568F"/>
    <w:rsid w:val="00FD3131"/>
    <w:rsid w:val="00FD3F98"/>
    <w:rsid w:val="00FD6D41"/>
    <w:rsid w:val="00FD72DC"/>
    <w:rsid w:val="00FE1096"/>
    <w:rsid w:val="00FE221C"/>
    <w:rsid w:val="12EB0379"/>
    <w:rsid w:val="28FC2301"/>
    <w:rsid w:val="2AFF5123"/>
    <w:rsid w:val="2B6B4829"/>
    <w:rsid w:val="4AF871CD"/>
    <w:rsid w:val="62E95BCA"/>
    <w:rsid w:val="6505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ascii="Calibri" w:hAnsi="Calibri"/>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Char"/>
    <w:link w:val="2"/>
    <w:qFormat/>
    <w:uiPriority w:val="9"/>
    <w:rPr>
      <w:rFonts w:ascii="Calibri" w:hAnsi="Calibri"/>
      <w:b/>
      <w:bCs/>
      <w:kern w:val="44"/>
      <w:sz w:val="44"/>
      <w:szCs w:val="44"/>
    </w:rPr>
  </w:style>
  <w:style w:type="character" w:customStyle="1" w:styleId="9">
    <w:name w:val="批注框文本 Char"/>
    <w:link w:val="3"/>
    <w:qFormat/>
    <w:uiPriority w:val="0"/>
    <w:rPr>
      <w:kern w:val="2"/>
      <w:sz w:val="18"/>
      <w:szCs w:val="18"/>
    </w:rPr>
  </w:style>
  <w:style w:type="paragraph" w:styleId="10">
    <w:name w:val="List Paragraph"/>
    <w:basedOn w:val="1"/>
    <w:qFormat/>
    <w:uiPriority w:val="34"/>
    <w:pPr>
      <w:ind w:firstLine="420" w:firstLineChars="200"/>
    </w:pPr>
  </w:style>
  <w:style w:type="character" w:customStyle="1" w:styleId="11">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CF50F-E7D2-4DD2-8F8A-CB275A61DF6D}">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15</Pages>
  <Words>6162</Words>
  <Characters>6587</Characters>
  <Lines>48</Lines>
  <Paragraphs>13</Paragraphs>
  <TotalTime>15</TotalTime>
  <ScaleCrop>false</ScaleCrop>
  <LinksUpToDate>false</LinksUpToDate>
  <CharactersWithSpaces>6626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2022-03-03T07:29:00Z</dcterms:created>
  <dc:creator>Microsoft</dc:creator>
  <cp:lastModifiedBy>Administrator</cp:lastModifiedBy>
  <cp:lastPrinted>2022-01-17T05:15:00Z</cp:lastPrinted>
  <dcterms:modified xsi:type="dcterms:W3CDTF">2022-07-21T10:37:22Z</dcterms:modified>
  <dc:title>XXX2018年度部门预算</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FF5D18A3BD3D40AF8EF5B4AB059329D2</vt:lpwstr>
  </property>
</Properties>
</file>