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 w:cs="宋体"/>
          <w:bCs/>
          <w:color w:val="4D4D4D"/>
          <w:kern w:val="0"/>
          <w:sz w:val="32"/>
          <w:szCs w:val="32"/>
        </w:rPr>
      </w:pPr>
      <w:r>
        <w:rPr>
          <w:rFonts w:hint="eastAsia" w:ascii="仿宋_GB2312" w:eastAsia="仿宋_GB2312" w:cs="宋体"/>
          <w:bCs/>
          <w:color w:val="4D4D4D"/>
          <w:kern w:val="0"/>
          <w:sz w:val="32"/>
          <w:szCs w:val="32"/>
        </w:rPr>
        <w:t>附件</w:t>
      </w:r>
      <w:r>
        <w:rPr>
          <w:rFonts w:ascii="仿宋_GB2312" w:eastAsia="仿宋_GB2312" w:cs="宋体"/>
          <w:bCs/>
          <w:color w:val="4D4D4D"/>
          <w:kern w:val="0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b/>
          <w:bCs/>
          <w:color w:val="4D4D4D"/>
          <w:kern w:val="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《金普新区烟草制品零售点合理布局规定（草案）》</w:t>
      </w:r>
    </w:p>
    <w:p>
      <w:pPr>
        <w:widowControl/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听证会代表产生办法</w:t>
      </w:r>
    </w:p>
    <w:bookmarkEnd w:id="0"/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ab/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根据《中华人民共和国行政许可法》、《中华人民共和国烟草专卖法实施条例》、《烟草专卖许可证管理办法》的有关规定，《金普新区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烟草制品零售点合理布局规定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（草案）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听证会代表采取如下办法产生：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一、听证会代表必须是年满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周岁，具有完全民事行为能力的</w:t>
      </w:r>
      <w:r>
        <w:rPr>
          <w:rFonts w:hint="eastAsia" w:ascii="仿宋_GB2312" w:eastAsia="仿宋_GB2312" w:cs="宋体"/>
          <w:kern w:val="0"/>
          <w:sz w:val="32"/>
          <w:szCs w:val="32"/>
        </w:rPr>
        <w:t>公民，</w:t>
      </w:r>
      <w:r>
        <w:rPr>
          <w:rFonts w:hint="eastAsia" w:ascii="仿宋_GB2312" w:eastAsia="仿宋_GB2312"/>
          <w:sz w:val="32"/>
          <w:szCs w:val="32"/>
        </w:rPr>
        <w:t>听证会代表一经被选定，应当亲自参加听证。</w:t>
      </w:r>
    </w:p>
    <w:p>
      <w:pPr>
        <w:widowControl/>
        <w:spacing w:line="360" w:lineRule="auto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二、自愿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报名参加的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听证会代表由卷烟批发企业代表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人，卷烟零售企业代表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人，个体卷烟经营者代表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人，消费者代表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人，未取得卷烟零售许可资格代表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人，共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人组成。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人大</w:t>
      </w:r>
      <w:r>
        <w:rPr>
          <w:rFonts w:ascii="仿宋_GB2312" w:eastAsia="仿宋_GB2312"/>
          <w:sz w:val="32"/>
          <w:szCs w:val="32"/>
        </w:rPr>
        <w:t>、政协、</w:t>
      </w:r>
      <w:r>
        <w:rPr>
          <w:rFonts w:hint="eastAsia" w:ascii="仿宋_GB2312" w:eastAsia="仿宋_GB2312"/>
          <w:sz w:val="32"/>
          <w:szCs w:val="32"/>
        </w:rPr>
        <w:t>专家学者合计</w:t>
      </w:r>
      <w:r>
        <w:rPr>
          <w:rFonts w:ascii="仿宋_GB2312" w:eastAsia="仿宋_GB2312"/>
          <w:sz w:val="32"/>
          <w:szCs w:val="32"/>
        </w:rPr>
        <w:t>邀请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参加。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三、自愿报名的各序列登记报名人数超出规定人数时，</w:t>
      </w:r>
      <w:r>
        <w:rPr>
          <w:rFonts w:hint="eastAsia" w:ascii="仿宋_GB2312" w:eastAsia="仿宋_GB2312" w:cs="宋体"/>
          <w:kern w:val="0"/>
          <w:sz w:val="32"/>
          <w:szCs w:val="32"/>
        </w:rPr>
        <w:t>金州区烟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草专卖局将于报名截止后组织抽签，产生听证会代表。</w:t>
      </w:r>
    </w:p>
    <w:p>
      <w:pPr>
        <w:widowControl/>
        <w:spacing w:line="360" w:lineRule="auto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四、自愿报名登记报名人数多于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10人不足15人时，按实际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人数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组织听证会，不再组织报名补缺；如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自愿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报名登记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人数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不足10人，另行组织报名补缺。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五、为体现听证代表的广泛参与性，企业代表应兼顾不同所有制形式企业，个体经营代表应兼顾不同客户种类，消费者代表应兼顾不同年龄段。</w:t>
      </w:r>
    </w:p>
    <w:p>
      <w:pPr>
        <w:widowControl/>
        <w:spacing w:line="360" w:lineRule="auto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六、听证会代表名单将在大连金普新区政府网上予以公告。</w:t>
      </w:r>
    </w:p>
    <w:p>
      <w:pPr>
        <w:widowControl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2021-05-17T07:15:44Z</dcterms:created>
  <dc:creator>Dell</dc:creator>
  <cp:lastModifiedBy>Dell</cp:lastModifiedBy>
  <dcterms:modified xsi:type="dcterms:W3CDTF">2021-05-17T07:17:55Z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