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76" w:lineRule="exact"/>
        <w:ind w:right="641"/>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202</w:t>
      </w:r>
      <w:r>
        <w:rPr>
          <w:rFonts w:hint="eastAsia" w:ascii="方正小标宋简体" w:hAnsi="宋体" w:eastAsia="方正小标宋简体" w:cs="宋体"/>
          <w:sz w:val="44"/>
          <w:szCs w:val="44"/>
          <w:lang w:val="en-US" w:eastAsia="zh-CN"/>
        </w:rPr>
        <w:t>2</w:t>
      </w:r>
      <w:r>
        <w:rPr>
          <w:rFonts w:hint="eastAsia" w:ascii="方正小标宋简体" w:hAnsi="宋体" w:eastAsia="方正小标宋简体" w:cs="宋体"/>
          <w:sz w:val="44"/>
          <w:szCs w:val="44"/>
        </w:rPr>
        <w:t>年度</w:t>
      </w:r>
      <w:r>
        <w:rPr>
          <w:rFonts w:hint="eastAsia" w:ascii="方正小标宋简体" w:hAnsi="宋体" w:eastAsia="方正小标宋简体" w:cs="宋体"/>
          <w:sz w:val="44"/>
          <w:szCs w:val="44"/>
          <w:lang w:val="en-US" w:eastAsia="zh-CN"/>
        </w:rPr>
        <w:t>文化市场涉企</w:t>
      </w:r>
      <w:r>
        <w:rPr>
          <w:rFonts w:hint="eastAsia" w:ascii="方正小标宋简体" w:hAnsi="宋体" w:eastAsia="方正小标宋简体" w:cs="宋体"/>
          <w:sz w:val="44"/>
          <w:szCs w:val="44"/>
        </w:rPr>
        <w:t>行政执法检查计划表</w:t>
      </w:r>
    </w:p>
    <w:p>
      <w:pPr>
        <w:wordWrap w:val="0"/>
        <w:spacing w:line="576" w:lineRule="exact"/>
        <w:ind w:right="641"/>
        <w:jc w:val="both"/>
        <w:rPr>
          <w:rFonts w:hint="eastAsia" w:ascii="仿宋" w:hAnsi="仿宋" w:eastAsia="仿宋" w:cs="仿宋"/>
          <w:sz w:val="21"/>
          <w:szCs w:val="21"/>
          <w:lang w:val="en-US" w:eastAsia="zh-CN"/>
        </w:rPr>
      </w:pPr>
    </w:p>
    <w:tbl>
      <w:tblPr>
        <w:tblStyle w:val="2"/>
        <w:tblW w:w="143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13"/>
        <w:gridCol w:w="1469"/>
        <w:gridCol w:w="4819"/>
        <w:gridCol w:w="2268"/>
        <w:gridCol w:w="1134"/>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60" w:type="dxa"/>
            <w:noWrap/>
            <w:vAlign w:val="center"/>
          </w:tcPr>
          <w:p>
            <w:pPr>
              <w:widowControl/>
              <w:spacing w:line="460" w:lineRule="exact"/>
              <w:jc w:val="center"/>
              <w:rPr>
                <w:rFonts w:ascii="黑体" w:hAnsi="黑体" w:eastAsia="黑体" w:cs="Times New Roman"/>
                <w:kern w:val="0"/>
                <w:sz w:val="28"/>
                <w:szCs w:val="28"/>
              </w:rPr>
            </w:pPr>
            <w:r>
              <w:rPr>
                <w:rFonts w:hint="eastAsia" w:ascii="黑体" w:hAnsi="黑体" w:eastAsia="黑体" w:cs="方正仿宋_GBK"/>
                <w:kern w:val="0"/>
                <w:sz w:val="28"/>
                <w:szCs w:val="28"/>
              </w:rPr>
              <w:t>序号</w:t>
            </w:r>
          </w:p>
        </w:tc>
        <w:tc>
          <w:tcPr>
            <w:tcW w:w="1913" w:type="dxa"/>
            <w:noWrap/>
            <w:vAlign w:val="center"/>
          </w:tcPr>
          <w:p>
            <w:pPr>
              <w:widowControl/>
              <w:spacing w:line="460" w:lineRule="exact"/>
              <w:jc w:val="center"/>
              <w:rPr>
                <w:rFonts w:ascii="黑体" w:hAnsi="黑体" w:eastAsia="黑体" w:cs="Times New Roman"/>
                <w:kern w:val="0"/>
                <w:sz w:val="28"/>
                <w:szCs w:val="28"/>
              </w:rPr>
            </w:pPr>
            <w:r>
              <w:rPr>
                <w:rFonts w:hint="eastAsia" w:ascii="黑体" w:hAnsi="黑体" w:eastAsia="黑体" w:cs="方正仿宋_GBK"/>
                <w:kern w:val="0"/>
                <w:sz w:val="28"/>
                <w:szCs w:val="28"/>
              </w:rPr>
              <w:t>执法机关</w:t>
            </w:r>
          </w:p>
        </w:tc>
        <w:tc>
          <w:tcPr>
            <w:tcW w:w="1469" w:type="dxa"/>
            <w:noWrap/>
            <w:vAlign w:val="center"/>
          </w:tcPr>
          <w:p>
            <w:pPr>
              <w:widowControl/>
              <w:spacing w:line="460" w:lineRule="exact"/>
              <w:jc w:val="center"/>
              <w:rPr>
                <w:rFonts w:ascii="黑体" w:hAnsi="黑体" w:eastAsia="黑体" w:cs="Times New Roman"/>
                <w:kern w:val="0"/>
                <w:sz w:val="28"/>
                <w:szCs w:val="28"/>
              </w:rPr>
            </w:pPr>
            <w:r>
              <w:rPr>
                <w:rFonts w:hint="eastAsia" w:ascii="黑体" w:hAnsi="黑体" w:eastAsia="黑体" w:cs="方正仿宋_GBK"/>
                <w:kern w:val="0"/>
                <w:sz w:val="28"/>
                <w:szCs w:val="28"/>
              </w:rPr>
              <w:t>检查</w:t>
            </w:r>
          </w:p>
          <w:p>
            <w:pPr>
              <w:widowControl/>
              <w:spacing w:line="460" w:lineRule="exact"/>
              <w:jc w:val="center"/>
              <w:rPr>
                <w:rFonts w:ascii="黑体" w:hAnsi="黑体" w:eastAsia="黑体" w:cs="Times New Roman"/>
                <w:kern w:val="0"/>
                <w:sz w:val="28"/>
                <w:szCs w:val="28"/>
              </w:rPr>
            </w:pPr>
            <w:r>
              <w:rPr>
                <w:rFonts w:hint="eastAsia" w:ascii="黑体" w:hAnsi="黑体" w:eastAsia="黑体" w:cs="方正仿宋_GBK"/>
                <w:kern w:val="0"/>
                <w:sz w:val="28"/>
                <w:szCs w:val="28"/>
              </w:rPr>
              <w:t>对象</w:t>
            </w:r>
          </w:p>
        </w:tc>
        <w:tc>
          <w:tcPr>
            <w:tcW w:w="4819" w:type="dxa"/>
            <w:noWrap/>
            <w:vAlign w:val="center"/>
          </w:tcPr>
          <w:p>
            <w:pPr>
              <w:widowControl/>
              <w:spacing w:line="460" w:lineRule="exact"/>
              <w:jc w:val="center"/>
              <w:rPr>
                <w:rFonts w:ascii="黑体" w:hAnsi="黑体" w:eastAsia="黑体" w:cs="Times New Roman"/>
                <w:kern w:val="0"/>
                <w:sz w:val="28"/>
                <w:szCs w:val="28"/>
              </w:rPr>
            </w:pPr>
            <w:r>
              <w:rPr>
                <w:rFonts w:hint="eastAsia" w:ascii="方正仿宋_GBK" w:hAnsi="宋体" w:eastAsia="方正仿宋_GBK" w:cs="方正仿宋_GBK"/>
                <w:kern w:val="0"/>
                <w:sz w:val="28"/>
                <w:szCs w:val="28"/>
                <w:lang w:val="en-US" w:eastAsia="zh-CN"/>
              </w:rPr>
              <w:t>检查内容</w:t>
            </w:r>
          </w:p>
        </w:tc>
        <w:tc>
          <w:tcPr>
            <w:tcW w:w="2268" w:type="dxa"/>
            <w:noWrap/>
            <w:vAlign w:val="center"/>
          </w:tcPr>
          <w:p>
            <w:pPr>
              <w:widowControl/>
              <w:spacing w:line="460" w:lineRule="exact"/>
              <w:jc w:val="center"/>
              <w:rPr>
                <w:rFonts w:ascii="黑体" w:hAnsi="黑体" w:eastAsia="黑体" w:cs="方正仿宋_GBK"/>
                <w:kern w:val="0"/>
                <w:sz w:val="28"/>
                <w:szCs w:val="28"/>
              </w:rPr>
            </w:pPr>
            <w:r>
              <w:rPr>
                <w:rFonts w:hint="eastAsia" w:ascii="黑体" w:hAnsi="黑体" w:eastAsia="黑体" w:cs="方正仿宋_GBK"/>
                <w:kern w:val="0"/>
                <w:sz w:val="28"/>
                <w:szCs w:val="28"/>
              </w:rPr>
              <w:t>检查</w:t>
            </w:r>
          </w:p>
          <w:p>
            <w:pPr>
              <w:widowControl/>
              <w:spacing w:line="460" w:lineRule="exact"/>
              <w:jc w:val="center"/>
              <w:rPr>
                <w:rFonts w:ascii="黑体" w:hAnsi="黑体" w:eastAsia="黑体" w:cs="Times New Roman"/>
                <w:kern w:val="0"/>
                <w:sz w:val="28"/>
                <w:szCs w:val="28"/>
              </w:rPr>
            </w:pPr>
            <w:r>
              <w:rPr>
                <w:rFonts w:hint="eastAsia" w:ascii="黑体" w:hAnsi="黑体" w:eastAsia="黑体" w:cs="方正仿宋_GBK"/>
                <w:kern w:val="0"/>
                <w:sz w:val="28"/>
                <w:szCs w:val="28"/>
              </w:rPr>
              <w:t>依据</w:t>
            </w:r>
          </w:p>
        </w:tc>
        <w:tc>
          <w:tcPr>
            <w:tcW w:w="1134" w:type="dxa"/>
            <w:noWrap/>
            <w:vAlign w:val="center"/>
          </w:tcPr>
          <w:p>
            <w:pPr>
              <w:widowControl/>
              <w:spacing w:line="460" w:lineRule="exact"/>
              <w:jc w:val="center"/>
              <w:rPr>
                <w:rFonts w:ascii="黑体" w:hAnsi="黑体" w:eastAsia="黑体" w:cs="Times New Roman"/>
                <w:kern w:val="0"/>
                <w:sz w:val="28"/>
                <w:szCs w:val="28"/>
              </w:rPr>
            </w:pPr>
            <w:r>
              <w:rPr>
                <w:rFonts w:hint="eastAsia" w:ascii="黑体" w:hAnsi="黑体" w:eastAsia="黑体" w:cs="方正仿宋_GBK"/>
                <w:kern w:val="0"/>
                <w:sz w:val="28"/>
                <w:szCs w:val="28"/>
              </w:rPr>
              <w:t>检查</w:t>
            </w:r>
          </w:p>
          <w:p>
            <w:pPr>
              <w:widowControl/>
              <w:spacing w:line="460" w:lineRule="exact"/>
              <w:jc w:val="center"/>
              <w:rPr>
                <w:rFonts w:hint="eastAsia" w:ascii="黑体" w:hAnsi="黑体" w:eastAsia="黑体" w:cs="Times New Roman"/>
                <w:kern w:val="0"/>
                <w:sz w:val="28"/>
                <w:szCs w:val="28"/>
                <w:lang w:eastAsia="zh-CN"/>
              </w:rPr>
            </w:pPr>
            <w:r>
              <w:rPr>
                <w:rFonts w:hint="eastAsia" w:ascii="黑体" w:hAnsi="黑体" w:eastAsia="黑体" w:cs="方正仿宋_GBK"/>
                <w:kern w:val="0"/>
                <w:sz w:val="28"/>
                <w:szCs w:val="28"/>
                <w:lang w:val="en-US" w:eastAsia="zh-CN"/>
              </w:rPr>
              <w:t>时间</w:t>
            </w:r>
          </w:p>
        </w:tc>
        <w:tc>
          <w:tcPr>
            <w:tcW w:w="992" w:type="dxa"/>
            <w:noWrap/>
            <w:vAlign w:val="center"/>
          </w:tcPr>
          <w:p>
            <w:pPr>
              <w:widowControl/>
              <w:spacing w:line="460" w:lineRule="exact"/>
              <w:jc w:val="center"/>
              <w:rPr>
                <w:rFonts w:ascii="黑体" w:hAnsi="黑体" w:eastAsia="黑体" w:cs="Times New Roman"/>
                <w:kern w:val="0"/>
                <w:sz w:val="28"/>
                <w:szCs w:val="28"/>
              </w:rPr>
            </w:pPr>
            <w:r>
              <w:rPr>
                <w:rFonts w:hint="eastAsia" w:ascii="黑体" w:hAnsi="黑体" w:eastAsia="黑体" w:cs="方正仿宋_GBK"/>
                <w:kern w:val="0"/>
                <w:sz w:val="28"/>
                <w:szCs w:val="28"/>
              </w:rPr>
              <w:t>检查</w:t>
            </w:r>
          </w:p>
          <w:p>
            <w:pPr>
              <w:widowControl/>
              <w:spacing w:line="460" w:lineRule="exact"/>
              <w:jc w:val="center"/>
              <w:rPr>
                <w:rFonts w:hint="eastAsia" w:ascii="黑体" w:hAnsi="黑体" w:eastAsia="黑体" w:cs="Times New Roman"/>
                <w:kern w:val="0"/>
                <w:sz w:val="28"/>
                <w:szCs w:val="28"/>
                <w:lang w:eastAsia="zh-CN"/>
              </w:rPr>
            </w:pPr>
            <w:r>
              <w:rPr>
                <w:rFonts w:hint="eastAsia" w:ascii="黑体" w:hAnsi="黑体" w:eastAsia="黑体" w:cs="方正仿宋_GBK"/>
                <w:kern w:val="0"/>
                <w:sz w:val="28"/>
                <w:szCs w:val="28"/>
                <w:lang w:val="en-US" w:eastAsia="zh-CN"/>
              </w:rPr>
              <w:t>方式</w:t>
            </w:r>
          </w:p>
        </w:tc>
        <w:tc>
          <w:tcPr>
            <w:tcW w:w="1134" w:type="dxa"/>
            <w:noWrap/>
            <w:vAlign w:val="center"/>
          </w:tcPr>
          <w:p>
            <w:pPr>
              <w:widowControl/>
              <w:spacing w:line="460" w:lineRule="exact"/>
              <w:jc w:val="center"/>
              <w:rPr>
                <w:rFonts w:ascii="黑体" w:hAnsi="黑体" w:eastAsia="黑体" w:cs="Times New Roman"/>
                <w:kern w:val="0"/>
                <w:sz w:val="28"/>
                <w:szCs w:val="28"/>
              </w:rPr>
            </w:pPr>
            <w:r>
              <w:rPr>
                <w:rFonts w:hint="eastAsia" w:ascii="黑体" w:hAnsi="黑体" w:eastAsia="黑体" w:cs="方正仿宋_GBK"/>
                <w:kern w:val="0"/>
                <w:sz w:val="28"/>
                <w:szCs w:val="28"/>
              </w:rPr>
              <w:t>联合检查部门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0" w:type="dxa"/>
            <w:noWrap/>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1913"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金普新区教育和文化旅游局（文化市场综合</w:t>
            </w:r>
            <w:r>
              <w:rPr>
                <w:rFonts w:hint="eastAsia" w:ascii="宋体" w:hAnsi="宋体" w:cs="宋体"/>
                <w:kern w:val="0"/>
                <w:sz w:val="18"/>
                <w:szCs w:val="18"/>
                <w:lang w:val="en-US" w:eastAsia="zh-CN"/>
              </w:rPr>
              <w:t>行政</w:t>
            </w:r>
            <w:r>
              <w:rPr>
                <w:rFonts w:hint="eastAsia" w:ascii="宋体" w:hAnsi="宋体" w:cs="宋体"/>
                <w:kern w:val="0"/>
                <w:sz w:val="18"/>
                <w:szCs w:val="18"/>
              </w:rPr>
              <w:t>执法队）</w:t>
            </w:r>
          </w:p>
        </w:tc>
        <w:tc>
          <w:tcPr>
            <w:tcW w:w="1469"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网吧场所（</w:t>
            </w:r>
            <w:r>
              <w:rPr>
                <w:rFonts w:hint="eastAsia" w:ascii="宋体" w:hAnsi="宋体" w:cs="宋体"/>
                <w:kern w:val="0"/>
                <w:sz w:val="18"/>
                <w:szCs w:val="18"/>
                <w:lang w:val="en-US" w:eastAsia="zh-CN"/>
              </w:rPr>
              <w:t>18</w:t>
            </w:r>
            <w:r>
              <w:rPr>
                <w:rFonts w:hint="eastAsia" w:ascii="宋体" w:hAnsi="宋体" w:cs="宋体"/>
                <w:kern w:val="0"/>
                <w:sz w:val="18"/>
                <w:szCs w:val="18"/>
              </w:rPr>
              <w:t>家）</w:t>
            </w:r>
          </w:p>
        </w:tc>
        <w:tc>
          <w:tcPr>
            <w:tcW w:w="4819"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互联网上网服务营业场所接纳未成年人进入营业场所;擅自停止实施经营管理技术措施;未悬挂《网络文化经营许可证》或未成年人禁入标志;未按规定核对、登记上网消费者的有效身份证件或者记录有关上网信息;变更名称、住所、法定代表人或主要负责人、网络地址或者终止经营活动，未向文化行政部门办理有关手续或者备案;法律法规规章规定的其他事项的监督检查。</w:t>
            </w:r>
          </w:p>
        </w:tc>
        <w:tc>
          <w:tcPr>
            <w:tcW w:w="2268" w:type="dxa"/>
            <w:noWrap/>
            <w:vAlign w:val="center"/>
          </w:tcPr>
          <w:p>
            <w:pPr>
              <w:widowControl/>
              <w:rPr>
                <w:rFonts w:ascii="宋体" w:hAnsi="宋体" w:cs="宋体"/>
                <w:kern w:val="0"/>
                <w:sz w:val="18"/>
                <w:szCs w:val="18"/>
              </w:rPr>
            </w:pPr>
            <w:r>
              <w:rPr>
                <w:rFonts w:hint="eastAsia" w:ascii="宋体" w:hAnsi="宋体" w:cs="宋体"/>
                <w:kern w:val="0"/>
                <w:sz w:val="18"/>
                <w:szCs w:val="18"/>
              </w:rPr>
              <w:t>互联网上网服务营业场所管理条例。</w:t>
            </w:r>
          </w:p>
        </w:tc>
        <w:tc>
          <w:tcPr>
            <w:tcW w:w="1134" w:type="dxa"/>
            <w:noWrap/>
            <w:vAlign w:val="center"/>
          </w:tcPr>
          <w:p>
            <w:pPr>
              <w:widowControl/>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4月、7月、9月、11月</w:t>
            </w:r>
          </w:p>
        </w:tc>
        <w:tc>
          <w:tcPr>
            <w:tcW w:w="992" w:type="dxa"/>
            <w:noWrap/>
            <w:vAlign w:val="center"/>
          </w:tcPr>
          <w:p>
            <w:pPr>
              <w:widowControl/>
              <w:rPr>
                <w:rFonts w:ascii="宋体" w:hAnsi="宋体" w:cs="宋体"/>
                <w:kern w:val="0"/>
                <w:sz w:val="18"/>
                <w:szCs w:val="18"/>
              </w:rPr>
            </w:pPr>
            <w:r>
              <w:rPr>
                <w:rFonts w:hint="eastAsia" w:ascii="宋体" w:hAnsi="宋体" w:cs="宋体"/>
                <w:kern w:val="0"/>
                <w:sz w:val="18"/>
                <w:szCs w:val="18"/>
              </w:rPr>
              <w:t>现场检查</w:t>
            </w:r>
          </w:p>
          <w:p>
            <w:pPr>
              <w:widowControl/>
              <w:jc w:val="left"/>
              <w:rPr>
                <w:rFonts w:ascii="宋体" w:hAnsi="宋体" w:cs="宋体"/>
                <w:kern w:val="0"/>
                <w:sz w:val="18"/>
                <w:szCs w:val="18"/>
              </w:rPr>
            </w:pPr>
            <w:r>
              <w:rPr>
                <w:rFonts w:hint="eastAsia" w:ascii="宋体" w:hAnsi="宋体" w:cs="宋体"/>
                <w:kern w:val="0"/>
                <w:sz w:val="18"/>
                <w:szCs w:val="18"/>
              </w:rPr>
              <w:t>文网卫士</w:t>
            </w:r>
          </w:p>
        </w:tc>
        <w:tc>
          <w:tcPr>
            <w:tcW w:w="1134"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0" w:type="dxa"/>
            <w:noWrap/>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1913"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金普新区教育和文化旅游局（文化市场综合</w:t>
            </w:r>
            <w:r>
              <w:rPr>
                <w:rFonts w:hint="eastAsia" w:ascii="宋体" w:hAnsi="宋体" w:cs="宋体"/>
                <w:kern w:val="0"/>
                <w:sz w:val="18"/>
                <w:szCs w:val="18"/>
                <w:lang w:val="en-US" w:eastAsia="zh-CN"/>
              </w:rPr>
              <w:t>行政</w:t>
            </w:r>
            <w:r>
              <w:rPr>
                <w:rFonts w:hint="eastAsia" w:ascii="宋体" w:hAnsi="宋体" w:cs="宋体"/>
                <w:kern w:val="0"/>
                <w:sz w:val="18"/>
                <w:szCs w:val="18"/>
              </w:rPr>
              <w:t>执法队）</w:t>
            </w:r>
          </w:p>
        </w:tc>
        <w:tc>
          <w:tcPr>
            <w:tcW w:w="1469"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娱乐场所（</w:t>
            </w:r>
            <w:r>
              <w:rPr>
                <w:rFonts w:hint="eastAsia" w:ascii="宋体" w:hAnsi="宋体" w:cs="宋体"/>
                <w:kern w:val="0"/>
                <w:sz w:val="18"/>
                <w:szCs w:val="18"/>
                <w:lang w:val="en-US" w:eastAsia="zh-CN"/>
              </w:rPr>
              <w:t>22</w:t>
            </w:r>
            <w:r>
              <w:rPr>
                <w:rFonts w:hint="eastAsia" w:ascii="宋体" w:hAnsi="宋体" w:cs="宋体"/>
                <w:kern w:val="0"/>
                <w:sz w:val="18"/>
                <w:szCs w:val="18"/>
              </w:rPr>
              <w:t>家）</w:t>
            </w:r>
          </w:p>
        </w:tc>
        <w:tc>
          <w:tcPr>
            <w:tcW w:w="4819"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歌舞娱乐场所播放、表演的节目含有禁止内容，使用的歌曲点播系统连接至境外曲库，歌舞娱乐场所接纳未成年人，擅自变更场所使用的歌曲点播系统;游艺娱乐场所设置未经文化主管部门内容核查的游戏游艺设备，擅自变更游戏游艺设备;法律法规规章规定的其他事项监督检查。</w:t>
            </w:r>
          </w:p>
        </w:tc>
        <w:tc>
          <w:tcPr>
            <w:tcW w:w="2268"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娱乐场所管理条例、办法。</w:t>
            </w:r>
          </w:p>
        </w:tc>
        <w:tc>
          <w:tcPr>
            <w:tcW w:w="1134" w:type="dxa"/>
            <w:noWrap/>
            <w:vAlign w:val="center"/>
          </w:tcPr>
          <w:p>
            <w:pPr>
              <w:widowControl/>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4月、7月、9月、11月</w:t>
            </w:r>
          </w:p>
        </w:tc>
        <w:tc>
          <w:tcPr>
            <w:tcW w:w="992" w:type="dxa"/>
            <w:noWrap/>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现场</w:t>
            </w:r>
            <w:r>
              <w:rPr>
                <w:rFonts w:hint="eastAsia" w:ascii="宋体" w:hAnsi="宋体" w:cs="宋体"/>
                <w:kern w:val="0"/>
                <w:sz w:val="18"/>
                <w:szCs w:val="18"/>
                <w:lang w:val="en-US" w:eastAsia="zh-CN"/>
              </w:rPr>
              <w:t>调阅审查</w:t>
            </w:r>
          </w:p>
        </w:tc>
        <w:tc>
          <w:tcPr>
            <w:tcW w:w="1134"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0" w:type="dxa"/>
            <w:noWrap/>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1913"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金普新区教育和文化旅游局（文化市场综合</w:t>
            </w:r>
            <w:r>
              <w:rPr>
                <w:rFonts w:hint="eastAsia" w:ascii="宋体" w:hAnsi="宋体" w:cs="宋体"/>
                <w:kern w:val="0"/>
                <w:sz w:val="18"/>
                <w:szCs w:val="18"/>
                <w:lang w:val="en-US" w:eastAsia="zh-CN"/>
              </w:rPr>
              <w:t>行政</w:t>
            </w:r>
            <w:r>
              <w:rPr>
                <w:rFonts w:hint="eastAsia" w:ascii="宋体" w:hAnsi="宋体" w:cs="宋体"/>
                <w:kern w:val="0"/>
                <w:sz w:val="18"/>
                <w:szCs w:val="18"/>
              </w:rPr>
              <w:t>执法队）</w:t>
            </w:r>
          </w:p>
        </w:tc>
        <w:tc>
          <w:tcPr>
            <w:tcW w:w="1469" w:type="dxa"/>
            <w:noWrap/>
            <w:vAlign w:val="center"/>
          </w:tcPr>
          <w:p>
            <w:pPr>
              <w:widowControl/>
              <w:rPr>
                <w:rFonts w:ascii="宋体" w:hAnsi="宋体" w:cs="宋体"/>
                <w:kern w:val="0"/>
                <w:sz w:val="18"/>
                <w:szCs w:val="18"/>
              </w:rPr>
            </w:pPr>
            <w:r>
              <w:rPr>
                <w:rFonts w:hint="eastAsia" w:ascii="宋体" w:hAnsi="宋体" w:cs="宋体"/>
                <w:kern w:val="0"/>
                <w:sz w:val="18"/>
                <w:szCs w:val="18"/>
              </w:rPr>
              <w:t>文物保护单位（12家）</w:t>
            </w:r>
          </w:p>
        </w:tc>
        <w:tc>
          <w:tcPr>
            <w:tcW w:w="4819"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擅自在文物保护单位的保护范围和建设控制地带内进行建设工程，或者擅自迁移、拆除、修缮、重建不可移动文物；转让、抵押国有不可移动文物，将国有不可移动文物作为企业资产经营，将非国有不可移动文物转让或者抵押给外国人，以及擅自改变国有文物保护单位用途；文物收藏单位未按照国家有关规定配备防火、防盗、防自然损坏的设施；买卖国家禁止买卖的文物或将禁止出境的文物转让、出租、质押给外国人；发现文物隐匿不报或者拒不上交、以及未按照规定移交拣选文物；擅自从事馆藏文物修复、复制、拓印活动；未经批准擅自修复、复制、拓印、拍摄馆藏珍贵文物；对破坏水下文物，私自勘探、发掘、打捞水下文物，或者隐匿、私分、贩运、非法出售、非法出口水下文物；法律法规规章规定的其他事项。境外组织或者个人未经批准在中华人民共和国境内进行非物质文化遗产调查或未与境内非物质文化遗产学术研究机构合作；法律法规规章规定的其他事项的监督检查。</w:t>
            </w:r>
          </w:p>
        </w:tc>
        <w:tc>
          <w:tcPr>
            <w:tcW w:w="2268" w:type="dxa"/>
            <w:noWrap/>
            <w:vAlign w:val="center"/>
          </w:tcPr>
          <w:p>
            <w:pPr>
              <w:widowControl/>
              <w:rPr>
                <w:rFonts w:ascii="宋体" w:hAnsi="宋体" w:cs="宋体"/>
                <w:kern w:val="0"/>
                <w:sz w:val="18"/>
                <w:szCs w:val="18"/>
              </w:rPr>
            </w:pPr>
            <w:r>
              <w:rPr>
                <w:rFonts w:hint="eastAsia" w:ascii="宋体" w:hAnsi="宋体" w:cs="宋体"/>
                <w:kern w:val="0"/>
                <w:sz w:val="18"/>
                <w:szCs w:val="18"/>
              </w:rPr>
              <w:t>中华人民共和国文物保护法、实施条例。</w:t>
            </w:r>
          </w:p>
        </w:tc>
        <w:tc>
          <w:tcPr>
            <w:tcW w:w="1134" w:type="dxa"/>
            <w:noWrap/>
            <w:vAlign w:val="center"/>
          </w:tcPr>
          <w:p>
            <w:pPr>
              <w:widowControl/>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4月、7月、9月、11月</w:t>
            </w:r>
          </w:p>
        </w:tc>
        <w:tc>
          <w:tcPr>
            <w:tcW w:w="992"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现场</w:t>
            </w:r>
            <w:r>
              <w:rPr>
                <w:rFonts w:hint="eastAsia" w:ascii="宋体" w:hAnsi="宋体" w:cs="宋体"/>
                <w:kern w:val="0"/>
                <w:sz w:val="18"/>
                <w:szCs w:val="18"/>
                <w:lang w:val="en-US" w:eastAsia="zh-CN"/>
              </w:rPr>
              <w:t>调阅审查</w:t>
            </w:r>
          </w:p>
        </w:tc>
        <w:tc>
          <w:tcPr>
            <w:tcW w:w="1134"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0" w:type="dxa"/>
            <w:noWrap/>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1913"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金普新区教育和文化旅游局（文化市场综合</w:t>
            </w:r>
            <w:r>
              <w:rPr>
                <w:rFonts w:hint="eastAsia" w:ascii="宋体" w:hAnsi="宋体" w:cs="宋体"/>
                <w:kern w:val="0"/>
                <w:sz w:val="18"/>
                <w:szCs w:val="18"/>
                <w:lang w:val="en-US" w:eastAsia="zh-CN"/>
              </w:rPr>
              <w:t>行政</w:t>
            </w:r>
            <w:bookmarkStart w:id="0" w:name="_GoBack"/>
            <w:bookmarkEnd w:id="0"/>
            <w:r>
              <w:rPr>
                <w:rFonts w:hint="eastAsia" w:ascii="宋体" w:hAnsi="宋体" w:cs="宋体"/>
                <w:kern w:val="0"/>
                <w:sz w:val="18"/>
                <w:szCs w:val="18"/>
              </w:rPr>
              <w:t>执法队）</w:t>
            </w:r>
          </w:p>
        </w:tc>
        <w:tc>
          <w:tcPr>
            <w:tcW w:w="1469" w:type="dxa"/>
            <w:noWrap/>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 xml:space="preserve">   </w:t>
            </w:r>
            <w:r>
              <w:rPr>
                <w:rFonts w:hint="eastAsia" w:ascii="宋体" w:hAnsi="宋体" w:cs="宋体"/>
                <w:color w:val="auto"/>
                <w:kern w:val="0"/>
                <w:sz w:val="18"/>
                <w:szCs w:val="18"/>
              </w:rPr>
              <w:t>（</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家</w:t>
            </w:r>
            <w:r>
              <w:rPr>
                <w:rFonts w:hint="eastAsia" w:ascii="宋体" w:hAnsi="宋体" w:cs="宋体"/>
                <w:color w:val="auto"/>
                <w:kern w:val="0"/>
                <w:sz w:val="18"/>
                <w:szCs w:val="18"/>
              </w:rPr>
              <w:t>）</w:t>
            </w:r>
          </w:p>
        </w:tc>
        <w:tc>
          <w:tcPr>
            <w:tcW w:w="4819"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对星级酒店、A级景区、景点、旅行社及分社、营业部、服务网点相关活动的检查。</w:t>
            </w:r>
          </w:p>
        </w:tc>
        <w:tc>
          <w:tcPr>
            <w:tcW w:w="2268"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《中华人民共和国旅游法》</w:t>
            </w:r>
            <w:r>
              <w:rPr>
                <w:rFonts w:hint="eastAsia" w:ascii="宋体" w:hAnsi="宋体" w:cs="宋体"/>
                <w:kern w:val="0"/>
                <w:sz w:val="18"/>
                <w:szCs w:val="18"/>
                <w:lang w:val="en-US" w:eastAsia="zh-CN"/>
              </w:rPr>
              <w:t>第七条</w:t>
            </w:r>
            <w:r>
              <w:rPr>
                <w:rFonts w:hint="eastAsia" w:ascii="宋体" w:hAnsi="宋体" w:cs="宋体"/>
                <w:kern w:val="0"/>
                <w:sz w:val="18"/>
                <w:szCs w:val="18"/>
              </w:rPr>
              <w:t>；《旅行社条例</w:t>
            </w:r>
            <w:r>
              <w:rPr>
                <w:rFonts w:hint="eastAsia" w:ascii="宋体" w:hAnsi="宋体" w:cs="宋体"/>
                <w:kern w:val="0"/>
                <w:sz w:val="18"/>
                <w:szCs w:val="18"/>
                <w:lang w:val="en-US" w:eastAsia="zh-CN"/>
              </w:rPr>
              <w:t>第三条</w:t>
            </w:r>
            <w:r>
              <w:rPr>
                <w:rFonts w:hint="eastAsia" w:ascii="宋体" w:hAnsi="宋体" w:cs="宋体"/>
                <w:kern w:val="0"/>
                <w:sz w:val="18"/>
                <w:szCs w:val="18"/>
              </w:rPr>
              <w:t>》。</w:t>
            </w:r>
          </w:p>
        </w:tc>
        <w:tc>
          <w:tcPr>
            <w:tcW w:w="1134" w:type="dxa"/>
            <w:noWrap/>
            <w:vAlign w:val="center"/>
          </w:tcPr>
          <w:p>
            <w:pPr>
              <w:widowControl/>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4月、7月、9月、11月</w:t>
            </w:r>
          </w:p>
        </w:tc>
        <w:tc>
          <w:tcPr>
            <w:tcW w:w="992"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现场</w:t>
            </w:r>
            <w:r>
              <w:rPr>
                <w:rFonts w:hint="eastAsia" w:ascii="宋体" w:hAnsi="宋体" w:cs="宋体"/>
                <w:kern w:val="0"/>
                <w:sz w:val="18"/>
                <w:szCs w:val="18"/>
                <w:lang w:val="en-US" w:eastAsia="zh-CN"/>
              </w:rPr>
              <w:t>调阅审查</w:t>
            </w:r>
          </w:p>
        </w:tc>
        <w:tc>
          <w:tcPr>
            <w:tcW w:w="1134" w:type="dxa"/>
            <w:noWrap/>
            <w:vAlign w:val="center"/>
          </w:tcPr>
          <w:p>
            <w:pPr>
              <w:widowControl/>
              <w:jc w:val="left"/>
              <w:rPr>
                <w:rFonts w:ascii="宋体" w:hAnsi="宋体" w:cs="宋体"/>
                <w:kern w:val="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C91239-B8E6-48B6-918A-5BC07CF8C8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B7BABA2-53F1-411D-8DC7-680D3B150A9A}"/>
  </w:font>
  <w:font w:name="方正小标宋简体">
    <w:panose1 w:val="02000000000000000000"/>
    <w:charset w:val="86"/>
    <w:family w:val="auto"/>
    <w:pitch w:val="default"/>
    <w:sig w:usb0="00000001" w:usb1="08000000" w:usb2="00000000" w:usb3="00000000" w:csb0="00040000" w:csb1="00000000"/>
    <w:embedRegular r:id="rId3" w:fontKey="{C4C641DA-B5E2-4C7E-AD6D-5F1A2A6FB5F8}"/>
  </w:font>
  <w:font w:name="仿宋">
    <w:panose1 w:val="02010609060101010101"/>
    <w:charset w:val="86"/>
    <w:family w:val="auto"/>
    <w:pitch w:val="default"/>
    <w:sig w:usb0="800002BF" w:usb1="38CF7CFA" w:usb2="00000016" w:usb3="00000000" w:csb0="00040001" w:csb1="00000000"/>
    <w:embedRegular r:id="rId4" w:fontKey="{9730A6C1-260E-4350-9ED4-0C70FAEC7BFB}"/>
  </w:font>
  <w:font w:name="方正仿宋_GBK">
    <w:altName w:val="微软雅黑"/>
    <w:panose1 w:val="00000000000000000000"/>
    <w:charset w:val="86"/>
    <w:family w:val="script"/>
    <w:pitch w:val="default"/>
    <w:sig w:usb0="00000000" w:usb1="00000000" w:usb2="00082016" w:usb3="00000000" w:csb0="00040001" w:csb1="00000000"/>
    <w:embedRegular r:id="rId5" w:fontKey="{DB5D42C4-C4BB-4482-A643-4C638D348CA8}"/>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ZjlmMjg4ZGRlMjE4YWUxYWEzYjEzMjgyZTMyNDkifQ=="/>
  </w:docVars>
  <w:rsids>
    <w:rsidRoot w:val="7E212C57"/>
    <w:rsid w:val="0B2B6444"/>
    <w:rsid w:val="0CA77C46"/>
    <w:rsid w:val="35105450"/>
    <w:rsid w:val="443C48B6"/>
    <w:rsid w:val="447A235F"/>
    <w:rsid w:val="7DBF0FD4"/>
    <w:rsid w:val="7E212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1050</Words>
  <Characters>1060</Characters>
  <Lines>0</Lines>
  <Paragraphs>0</Paragraphs>
  <TotalTime>1</TotalTime>
  <ScaleCrop>false</ScaleCrop>
  <LinksUpToDate>false</LinksUpToDate>
  <CharactersWithSpaces>1066</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2022-01-05T00:53:00Z</dcterms:created>
  <dc:creator>阳光</dc:creator>
  <cp:lastModifiedBy>阳光</cp:lastModifiedBy>
  <dcterms:modified xsi:type="dcterms:W3CDTF">2022-10-27T06:08:58Z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2C4EEFDD7E7E48C8A117C7CAF6463374</vt:lpwstr>
  </property>
</Properties>
</file>