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4079" w:rsidRDefault="00647ED0">
      <w:pPr>
        <w:adjustRightInd w:val="0"/>
        <w:snapToGrid w:val="0"/>
        <w:spacing w:line="600" w:lineRule="exact"/>
        <w:ind w:firstLineChars="0" w:firstLine="0"/>
        <w:jc w:val="center"/>
        <w:rPr>
          <w:rFonts w:asciiTheme="majorEastAsia" w:eastAsiaTheme="majorEastAsia" w:hAnsiTheme="majorEastAsia"/>
          <w:b/>
          <w:color w:val="000000" w:themeColor="text1"/>
          <w:sz w:val="44"/>
          <w:szCs w:val="44"/>
        </w:rPr>
      </w:pPr>
      <w:r>
        <w:rPr>
          <w:rFonts w:asciiTheme="majorEastAsia" w:eastAsiaTheme="majorEastAsia" w:hAnsiTheme="majorEastAsia" w:hint="eastAsia"/>
          <w:b/>
          <w:color w:val="000000" w:themeColor="text1"/>
          <w:sz w:val="44"/>
          <w:szCs w:val="44"/>
        </w:rPr>
        <w:t>金普新区农业农村局202</w:t>
      </w:r>
      <w:r w:rsidR="001A6B9B">
        <w:rPr>
          <w:rFonts w:asciiTheme="majorEastAsia" w:eastAsiaTheme="majorEastAsia" w:hAnsiTheme="majorEastAsia" w:hint="eastAsia"/>
          <w:b/>
          <w:color w:val="000000" w:themeColor="text1"/>
          <w:sz w:val="44"/>
          <w:szCs w:val="44"/>
        </w:rPr>
        <w:t>3</w:t>
      </w:r>
      <w:r>
        <w:rPr>
          <w:rFonts w:asciiTheme="majorEastAsia" w:eastAsiaTheme="majorEastAsia" w:hAnsiTheme="majorEastAsia" w:hint="eastAsia"/>
          <w:b/>
          <w:color w:val="000000" w:themeColor="text1"/>
          <w:sz w:val="44"/>
          <w:szCs w:val="44"/>
        </w:rPr>
        <w:t>年</w:t>
      </w:r>
    </w:p>
    <w:p w:rsidR="00DC4079" w:rsidRDefault="00647ED0">
      <w:pPr>
        <w:adjustRightInd w:val="0"/>
        <w:snapToGrid w:val="0"/>
        <w:spacing w:line="600" w:lineRule="exact"/>
        <w:ind w:firstLineChars="0" w:firstLine="0"/>
        <w:jc w:val="center"/>
        <w:rPr>
          <w:rFonts w:asciiTheme="majorEastAsia" w:eastAsiaTheme="majorEastAsia" w:hAnsiTheme="majorEastAsia"/>
          <w:b/>
          <w:color w:val="000000" w:themeColor="text1"/>
          <w:sz w:val="44"/>
          <w:szCs w:val="44"/>
        </w:rPr>
      </w:pPr>
      <w:r>
        <w:rPr>
          <w:rFonts w:asciiTheme="majorEastAsia" w:eastAsiaTheme="majorEastAsia" w:hAnsiTheme="majorEastAsia" w:hint="eastAsia"/>
          <w:b/>
          <w:color w:val="000000" w:themeColor="text1"/>
          <w:sz w:val="44"/>
          <w:szCs w:val="44"/>
        </w:rPr>
        <w:t>法治政府建设情况报告</w:t>
      </w:r>
      <w:bookmarkStart w:id="0" w:name="_GoBack"/>
      <w:bookmarkEnd w:id="0"/>
    </w:p>
    <w:p w:rsidR="00DC4079" w:rsidRDefault="00DC4079">
      <w:pPr>
        <w:adjustRightInd w:val="0"/>
        <w:snapToGrid w:val="0"/>
        <w:spacing w:line="600" w:lineRule="exact"/>
        <w:ind w:firstLineChars="144" w:firstLine="463"/>
        <w:jc w:val="left"/>
        <w:rPr>
          <w:rFonts w:ascii="仿宋" w:eastAsia="仿宋" w:hAnsi="仿宋"/>
          <w:b/>
          <w:color w:val="000000" w:themeColor="text1"/>
          <w:szCs w:val="32"/>
        </w:rPr>
      </w:pPr>
    </w:p>
    <w:p w:rsidR="00DC4079" w:rsidRDefault="00647ED0">
      <w:pPr>
        <w:adjustRightInd w:val="0"/>
        <w:snapToGrid w:val="0"/>
        <w:spacing w:line="600" w:lineRule="exact"/>
        <w:ind w:firstLineChars="214" w:firstLine="685"/>
        <w:jc w:val="left"/>
        <w:rPr>
          <w:rFonts w:ascii="仿宋" w:eastAsia="仿宋" w:hAnsi="仿宋"/>
          <w:color w:val="000000" w:themeColor="text1"/>
        </w:rPr>
      </w:pPr>
      <w:r>
        <w:rPr>
          <w:rFonts w:ascii="仿宋" w:eastAsia="仿宋" w:hAnsi="仿宋"/>
          <w:color w:val="000000" w:themeColor="text1"/>
        </w:rPr>
        <w:t>202</w:t>
      </w:r>
      <w:r>
        <w:rPr>
          <w:rFonts w:ascii="仿宋" w:eastAsia="仿宋" w:hAnsi="仿宋" w:hint="eastAsia"/>
          <w:color w:val="000000" w:themeColor="text1"/>
        </w:rPr>
        <w:t>3</w:t>
      </w:r>
      <w:r>
        <w:rPr>
          <w:rFonts w:ascii="仿宋" w:eastAsia="仿宋" w:hAnsi="仿宋"/>
          <w:color w:val="000000" w:themeColor="text1"/>
        </w:rPr>
        <w:t>年，</w:t>
      </w:r>
      <w:r w:rsidR="00A2051C">
        <w:rPr>
          <w:rFonts w:ascii="仿宋" w:eastAsia="仿宋" w:hAnsi="仿宋" w:hint="eastAsia"/>
          <w:color w:val="000000" w:themeColor="text1"/>
        </w:rPr>
        <w:t>金</w:t>
      </w:r>
      <w:r w:rsidR="00A2051C">
        <w:rPr>
          <w:rFonts w:ascii="仿宋" w:eastAsia="仿宋" w:hAnsi="仿宋"/>
          <w:color w:val="000000" w:themeColor="text1"/>
        </w:rPr>
        <w:t>普新区</w:t>
      </w:r>
      <w:r>
        <w:rPr>
          <w:rFonts w:ascii="仿宋" w:eastAsia="仿宋" w:hAnsi="仿宋" w:hint="eastAsia"/>
          <w:color w:val="000000" w:themeColor="text1"/>
        </w:rPr>
        <w:t>农业</w:t>
      </w:r>
      <w:r>
        <w:rPr>
          <w:rFonts w:ascii="仿宋" w:eastAsia="仿宋" w:hAnsi="仿宋"/>
          <w:color w:val="000000" w:themeColor="text1"/>
        </w:rPr>
        <w:t>农村</w:t>
      </w:r>
      <w:r>
        <w:rPr>
          <w:rFonts w:ascii="仿宋" w:eastAsia="仿宋" w:hAnsi="仿宋" w:hint="eastAsia"/>
          <w:color w:val="000000" w:themeColor="text1"/>
        </w:rPr>
        <w:t>局</w:t>
      </w:r>
      <w:r>
        <w:rPr>
          <w:rFonts w:ascii="仿宋" w:eastAsia="仿宋" w:hAnsi="仿宋"/>
          <w:color w:val="000000" w:themeColor="text1"/>
        </w:rPr>
        <w:t>在</w:t>
      </w:r>
      <w:r w:rsidR="00A2051C">
        <w:rPr>
          <w:rFonts w:ascii="仿宋" w:eastAsia="仿宋" w:hAnsi="仿宋" w:hint="eastAsia"/>
          <w:color w:val="000000" w:themeColor="text1"/>
        </w:rPr>
        <w:t>新</w:t>
      </w:r>
      <w:r w:rsidR="00A2051C">
        <w:rPr>
          <w:rFonts w:ascii="仿宋" w:eastAsia="仿宋" w:hAnsi="仿宋"/>
          <w:color w:val="000000" w:themeColor="text1"/>
        </w:rPr>
        <w:t>区</w:t>
      </w:r>
      <w:r>
        <w:rPr>
          <w:rFonts w:ascii="仿宋" w:eastAsia="仿宋" w:hAnsi="仿宋"/>
          <w:color w:val="000000" w:themeColor="text1"/>
        </w:rPr>
        <w:t>党工委、管委会的领导下，较好完成了本年度法治政府建设工作。按照《</w:t>
      </w:r>
      <w:r>
        <w:rPr>
          <w:rFonts w:ascii="仿宋" w:eastAsia="仿宋" w:hAnsi="仿宋" w:hint="eastAsia"/>
          <w:color w:val="000000" w:themeColor="text1"/>
        </w:rPr>
        <w:t>关于向新区党工委管委会报告2023年度法治政府建设情况的通知</w:t>
      </w:r>
      <w:r>
        <w:rPr>
          <w:rFonts w:ascii="仿宋" w:eastAsia="仿宋" w:hAnsi="仿宋"/>
          <w:color w:val="000000" w:themeColor="text1"/>
        </w:rPr>
        <w:t>》</w:t>
      </w:r>
      <w:r>
        <w:rPr>
          <w:rFonts w:ascii="仿宋" w:eastAsia="仿宋" w:hAnsi="仿宋" w:hint="eastAsia"/>
          <w:color w:val="000000" w:themeColor="text1"/>
        </w:rPr>
        <w:t>要求</w:t>
      </w:r>
      <w:r>
        <w:rPr>
          <w:rFonts w:ascii="仿宋" w:eastAsia="仿宋" w:hAnsi="仿宋"/>
          <w:color w:val="000000" w:themeColor="text1"/>
        </w:rPr>
        <w:t>，现将</w:t>
      </w:r>
      <w:r>
        <w:rPr>
          <w:rFonts w:ascii="仿宋" w:eastAsia="仿宋" w:hAnsi="仿宋" w:hint="eastAsia"/>
          <w:color w:val="000000" w:themeColor="text1"/>
        </w:rPr>
        <w:t>我局相关</w:t>
      </w:r>
      <w:r>
        <w:rPr>
          <w:rFonts w:ascii="仿宋" w:eastAsia="仿宋" w:hAnsi="仿宋"/>
          <w:color w:val="000000" w:themeColor="text1"/>
        </w:rPr>
        <w:t>工作</w:t>
      </w:r>
      <w:r>
        <w:rPr>
          <w:rFonts w:ascii="仿宋" w:eastAsia="仿宋" w:hAnsi="仿宋" w:hint="eastAsia"/>
          <w:color w:val="000000" w:themeColor="text1"/>
        </w:rPr>
        <w:t>总体</w:t>
      </w:r>
      <w:r>
        <w:rPr>
          <w:rFonts w:ascii="仿宋" w:eastAsia="仿宋" w:hAnsi="仿宋"/>
          <w:color w:val="000000" w:themeColor="text1"/>
        </w:rPr>
        <w:t>情况报告如下：</w:t>
      </w:r>
    </w:p>
    <w:p w:rsidR="00DC4079" w:rsidRDefault="00647ED0">
      <w:pPr>
        <w:adjustRightInd w:val="0"/>
        <w:snapToGrid w:val="0"/>
        <w:spacing w:line="600" w:lineRule="exact"/>
        <w:ind w:firstLineChars="214" w:firstLine="687"/>
        <w:jc w:val="left"/>
        <w:rPr>
          <w:rFonts w:ascii="仿宋" w:eastAsia="仿宋" w:hAnsi="仿宋"/>
          <w:b/>
          <w:color w:val="000000" w:themeColor="text1"/>
          <w:szCs w:val="32"/>
        </w:rPr>
      </w:pPr>
      <w:r>
        <w:rPr>
          <w:rFonts w:ascii="仿宋" w:eastAsia="仿宋" w:hAnsi="仿宋" w:hint="eastAsia"/>
          <w:b/>
          <w:color w:val="000000" w:themeColor="text1"/>
          <w:szCs w:val="32"/>
        </w:rPr>
        <w:t>一、上年度推进法治政府建设主要举措和成效</w:t>
      </w:r>
    </w:p>
    <w:p w:rsidR="00DC4079" w:rsidRDefault="00647ED0">
      <w:pPr>
        <w:adjustRightInd w:val="0"/>
        <w:snapToGrid w:val="0"/>
        <w:spacing w:line="600" w:lineRule="exact"/>
        <w:ind w:firstLineChars="214" w:firstLine="687"/>
        <w:jc w:val="left"/>
        <w:rPr>
          <w:rFonts w:ascii="仿宋" w:eastAsia="仿宋" w:hAnsi="仿宋"/>
          <w:b/>
          <w:color w:val="000000" w:themeColor="text1"/>
          <w:szCs w:val="32"/>
        </w:rPr>
      </w:pPr>
      <w:r>
        <w:rPr>
          <w:rFonts w:ascii="仿宋" w:eastAsia="仿宋" w:hAnsi="仿宋" w:hint="eastAsia"/>
          <w:b/>
          <w:color w:val="000000" w:themeColor="text1"/>
          <w:szCs w:val="32"/>
        </w:rPr>
        <w:t>（一）积极学</w:t>
      </w:r>
      <w:proofErr w:type="gramStart"/>
      <w:r>
        <w:rPr>
          <w:rFonts w:ascii="仿宋" w:eastAsia="仿宋" w:hAnsi="仿宋" w:hint="eastAsia"/>
          <w:b/>
          <w:color w:val="000000" w:themeColor="text1"/>
          <w:szCs w:val="32"/>
        </w:rPr>
        <w:t>习习近</w:t>
      </w:r>
      <w:proofErr w:type="gramEnd"/>
      <w:r>
        <w:rPr>
          <w:rFonts w:ascii="仿宋" w:eastAsia="仿宋" w:hAnsi="仿宋" w:hint="eastAsia"/>
          <w:b/>
          <w:color w:val="000000" w:themeColor="text1"/>
          <w:szCs w:val="32"/>
        </w:rPr>
        <w:t>平法治思想，大力开展法治宣传</w:t>
      </w:r>
    </w:p>
    <w:p w:rsidR="00DC4079" w:rsidRDefault="00647ED0">
      <w:pPr>
        <w:adjustRightInd w:val="0"/>
        <w:snapToGrid w:val="0"/>
        <w:spacing w:line="600" w:lineRule="exact"/>
        <w:ind w:firstLineChars="214" w:firstLine="685"/>
        <w:jc w:val="left"/>
        <w:rPr>
          <w:rFonts w:ascii="仿宋" w:eastAsia="仿宋" w:hAnsi="仿宋"/>
          <w:b/>
          <w:color w:val="000000" w:themeColor="text1"/>
          <w:szCs w:val="32"/>
        </w:rPr>
      </w:pPr>
      <w:r>
        <w:rPr>
          <w:rFonts w:ascii="仿宋" w:eastAsia="仿宋" w:hAnsi="仿宋" w:hint="eastAsia"/>
          <w:color w:val="000000" w:themeColor="text1"/>
        </w:rPr>
        <w:t>1.积极组织党员干部学习。</w:t>
      </w:r>
      <w:proofErr w:type="gramStart"/>
      <w:r>
        <w:rPr>
          <w:rFonts w:ascii="仿宋" w:eastAsia="仿宋" w:hAnsi="仿宋"/>
          <w:color w:val="000000" w:themeColor="text1"/>
          <w:szCs w:val="32"/>
        </w:rPr>
        <w:t>将习近</w:t>
      </w:r>
      <w:proofErr w:type="gramEnd"/>
      <w:r>
        <w:rPr>
          <w:rFonts w:ascii="仿宋" w:eastAsia="仿宋" w:hAnsi="仿宋"/>
          <w:color w:val="000000" w:themeColor="text1"/>
          <w:szCs w:val="32"/>
        </w:rPr>
        <w:t>平法治思想纳入党组理论学习重要内容</w:t>
      </w:r>
      <w:r>
        <w:rPr>
          <w:rFonts w:ascii="仿宋" w:eastAsia="仿宋" w:hAnsi="仿宋" w:hint="eastAsia"/>
          <w:color w:val="000000" w:themeColor="text1"/>
          <w:szCs w:val="32"/>
        </w:rPr>
        <w:t>，领导班子定期组织学习，</w:t>
      </w:r>
      <w:r>
        <w:rPr>
          <w:rFonts w:ascii="仿宋" w:eastAsia="仿宋" w:hAnsi="仿宋"/>
          <w:color w:val="000000" w:themeColor="text1"/>
          <w:szCs w:val="32"/>
        </w:rPr>
        <w:t>局主要领导亲自领学</w:t>
      </w:r>
      <w:r>
        <w:rPr>
          <w:rFonts w:ascii="仿宋" w:eastAsia="仿宋" w:hAnsi="仿宋" w:hint="eastAsia"/>
          <w:color w:val="000000" w:themeColor="text1"/>
          <w:szCs w:val="32"/>
        </w:rPr>
        <w:t>，</w:t>
      </w:r>
      <w:r>
        <w:rPr>
          <w:rFonts w:ascii="仿宋" w:eastAsia="仿宋" w:hAnsi="仿宋" w:hint="eastAsia"/>
          <w:color w:val="000000" w:themeColor="text1"/>
        </w:rPr>
        <w:t>围绕建设中国特色社会主义法治体系、建设社会主义法治国家的总目标，领会推进全面依法治国，坚定不移走中国特色社会主义法治道路，</w:t>
      </w:r>
      <w:r>
        <w:rPr>
          <w:rFonts w:ascii="仿宋" w:eastAsia="仿宋" w:hAnsi="仿宋" w:hint="eastAsia"/>
          <w:color w:val="000000" w:themeColor="text1"/>
          <w:szCs w:val="32"/>
        </w:rPr>
        <w:t>并以贯彻落实中央全面依法治国工作会议精神为</w:t>
      </w:r>
      <w:r>
        <w:rPr>
          <w:rFonts w:ascii="仿宋" w:eastAsia="仿宋" w:hAnsi="仿宋"/>
          <w:color w:val="000000" w:themeColor="text1"/>
          <w:szCs w:val="32"/>
        </w:rPr>
        <w:t>出发点和落脚点</w:t>
      </w:r>
      <w:r>
        <w:rPr>
          <w:rFonts w:ascii="仿宋" w:eastAsia="仿宋" w:hAnsi="仿宋" w:hint="eastAsia"/>
          <w:color w:val="000000" w:themeColor="text1"/>
        </w:rPr>
        <w:t>，在法治轨道上推动职能业务工作开展</w:t>
      </w:r>
      <w:r>
        <w:rPr>
          <w:rFonts w:ascii="仿宋" w:eastAsia="仿宋" w:hAnsi="仿宋" w:hint="eastAsia"/>
          <w:color w:val="000000" w:themeColor="text1"/>
          <w:szCs w:val="32"/>
        </w:rPr>
        <w:t>。</w:t>
      </w:r>
    </w:p>
    <w:p w:rsidR="00DC4079" w:rsidRDefault="00647ED0">
      <w:pPr>
        <w:spacing w:line="560" w:lineRule="exact"/>
        <w:ind w:firstLine="640"/>
        <w:rPr>
          <w:rFonts w:ascii="仿宋" w:eastAsia="仿宋" w:hAnsi="仿宋"/>
          <w:color w:val="000000" w:themeColor="text1"/>
          <w:szCs w:val="32"/>
        </w:rPr>
      </w:pPr>
      <w:r>
        <w:rPr>
          <w:rFonts w:ascii="仿宋" w:eastAsia="仿宋" w:hAnsi="仿宋" w:hint="eastAsia"/>
          <w:color w:val="000000" w:themeColor="text1"/>
          <w:szCs w:val="32"/>
        </w:rPr>
        <w:t>2.</w:t>
      </w:r>
      <w:r>
        <w:rPr>
          <w:rFonts w:ascii="仿宋" w:eastAsia="仿宋" w:hAnsi="仿宋" w:cs="仿宋" w:hint="eastAsia"/>
          <w:szCs w:val="32"/>
        </w:rPr>
        <w:t>2023年，我局深入开展普法宣传工作。一是突出重点，将普及宪法、民法典纳入工作重点。今年我局在民法典宣传周和宪法周，由</w:t>
      </w:r>
      <w:proofErr w:type="gramStart"/>
      <w:r>
        <w:rPr>
          <w:rFonts w:ascii="仿宋" w:eastAsia="仿宋" w:hAnsi="仿宋" w:cs="仿宋" w:hint="eastAsia"/>
          <w:szCs w:val="32"/>
        </w:rPr>
        <w:t>执法队全面线</w:t>
      </w:r>
      <w:proofErr w:type="gramEnd"/>
      <w:r>
        <w:rPr>
          <w:rFonts w:ascii="仿宋" w:eastAsia="仿宋" w:hAnsi="仿宋" w:cs="仿宋" w:hint="eastAsia"/>
          <w:szCs w:val="32"/>
        </w:rPr>
        <w:t>上线下开展主题普法主题活动，用贴近实际生活的法宣标语让法治文化进村入户，同时以发放普法宣传材料，播放宣传视频等方式，将宣传融入群众日常生活。二是将普及行业法融入日常服务管理。在农业技术推广、动植物疫病防控、农村实用人才培训、高素质农</w:t>
      </w:r>
      <w:r>
        <w:rPr>
          <w:rFonts w:ascii="仿宋" w:eastAsia="仿宋" w:hAnsi="仿宋" w:cs="仿宋" w:hint="eastAsia"/>
          <w:szCs w:val="32"/>
        </w:rPr>
        <w:lastRenderedPageBreak/>
        <w:t>民培育、新型农业经营主体培育、农产品质</w:t>
      </w:r>
      <w:proofErr w:type="gramStart"/>
      <w:r>
        <w:rPr>
          <w:rFonts w:ascii="仿宋" w:eastAsia="仿宋" w:hAnsi="仿宋" w:cs="仿宋" w:hint="eastAsia"/>
          <w:szCs w:val="32"/>
        </w:rPr>
        <w:t>量安全</w:t>
      </w:r>
      <w:proofErr w:type="gramEnd"/>
      <w:r>
        <w:rPr>
          <w:rFonts w:ascii="仿宋" w:eastAsia="仿宋" w:hAnsi="仿宋" w:cs="仿宋" w:hint="eastAsia"/>
          <w:szCs w:val="32"/>
        </w:rPr>
        <w:t>监测检测等公共服务过程中，向农业生产经营者宣传普及相关法律法规知识，指导其合法生产经营。在调处农村土地承包经营纠纷时，将处理问题与宣讲法律规定、分析案件事实有机结合，引导当事人和社会公众依法维护自身合法权益。三是认真贯彻落实“谁执法谁普法”的普法制度，将培育农村学法用法示范户作为普法载体。</w:t>
      </w:r>
    </w:p>
    <w:p w:rsidR="00DC4079" w:rsidRDefault="00647ED0">
      <w:pPr>
        <w:adjustRightInd w:val="0"/>
        <w:snapToGrid w:val="0"/>
        <w:spacing w:line="600" w:lineRule="exact"/>
        <w:ind w:firstLine="643"/>
        <w:jc w:val="left"/>
        <w:rPr>
          <w:rFonts w:ascii="仿宋" w:eastAsia="仿宋" w:hAnsi="仿宋"/>
          <w:b/>
          <w:color w:val="000000" w:themeColor="text1"/>
          <w:szCs w:val="32"/>
        </w:rPr>
      </w:pPr>
      <w:r>
        <w:rPr>
          <w:rFonts w:ascii="仿宋" w:eastAsia="仿宋" w:hAnsi="仿宋" w:hint="eastAsia"/>
          <w:b/>
          <w:color w:val="000000" w:themeColor="text1"/>
          <w:szCs w:val="32"/>
        </w:rPr>
        <w:t>（二）构建职责明确、依法行政的政府治理体系</w:t>
      </w:r>
    </w:p>
    <w:p w:rsidR="00DC4079" w:rsidRDefault="00647ED0">
      <w:pPr>
        <w:adjustRightInd w:val="0"/>
        <w:snapToGrid w:val="0"/>
        <w:spacing w:line="600" w:lineRule="exact"/>
        <w:ind w:firstLineChars="214" w:firstLine="685"/>
        <w:jc w:val="left"/>
        <w:rPr>
          <w:rStyle w:val="NormalCharacter"/>
          <w:rFonts w:ascii="仿宋" w:eastAsia="仿宋" w:hAnsi="仿宋"/>
          <w:color w:val="000000" w:themeColor="text1"/>
        </w:rPr>
      </w:pPr>
      <w:r>
        <w:rPr>
          <w:rFonts w:ascii="仿宋" w:eastAsia="仿宋" w:hAnsi="仿宋" w:hint="eastAsia"/>
          <w:color w:val="000000" w:themeColor="text1"/>
          <w:szCs w:val="32"/>
        </w:rPr>
        <w:t>1.</w:t>
      </w:r>
      <w:r>
        <w:rPr>
          <w:rStyle w:val="NormalCharacter"/>
          <w:rFonts w:ascii="仿宋" w:eastAsia="仿宋" w:hAnsi="仿宋" w:hint="eastAsia"/>
          <w:color w:val="000000" w:themeColor="text1"/>
        </w:rPr>
        <w:t>切实规范行政许可行为。按要求对行政许可事项进行动态管理，不断</w:t>
      </w:r>
      <w:r>
        <w:rPr>
          <w:rStyle w:val="NormalCharacter"/>
          <w:rFonts w:ascii="仿宋" w:eastAsia="仿宋" w:hAnsi="仿宋"/>
          <w:color w:val="000000" w:themeColor="text1"/>
        </w:rPr>
        <w:t>完善</w:t>
      </w:r>
      <w:r>
        <w:rPr>
          <w:rStyle w:val="NormalCharacter"/>
          <w:rFonts w:ascii="仿宋" w:eastAsia="仿宋" w:hAnsi="仿宋" w:hint="eastAsia"/>
          <w:color w:val="000000" w:themeColor="text1"/>
        </w:rPr>
        <w:t>设定依据、实施机关、许可条件、办理程序、办理时限、申请材料、适用范围、有效期限、中介服务等要素，及时更新并在大连政务服务网公示。生产建设项目水土保持方案审批等纳入大连市工程建设项目联合审批平台的事项，涉及的技术审查、中介服务事项，同时按“四减”工作地求，压缩审批时间至法定时限的40%以下。我</w:t>
      </w:r>
      <w:r>
        <w:rPr>
          <w:rStyle w:val="NormalCharacter"/>
          <w:rFonts w:ascii="仿宋" w:eastAsia="仿宋" w:hAnsi="仿宋"/>
          <w:color w:val="000000" w:themeColor="text1"/>
        </w:rPr>
        <w:t>局行政许可数量和质量保持了较高水</w:t>
      </w:r>
      <w:r>
        <w:rPr>
          <w:rStyle w:val="NormalCharacter"/>
          <w:rFonts w:ascii="仿宋" w:eastAsia="仿宋" w:hAnsi="仿宋" w:hint="eastAsia"/>
          <w:color w:val="000000" w:themeColor="text1"/>
        </w:rPr>
        <w:t>平</w:t>
      </w:r>
      <w:r>
        <w:rPr>
          <w:rStyle w:val="NormalCharacter"/>
          <w:rFonts w:ascii="仿宋" w:eastAsia="仿宋" w:hAnsi="仿宋"/>
          <w:color w:val="000000" w:themeColor="text1"/>
        </w:rPr>
        <w:t>。</w:t>
      </w:r>
    </w:p>
    <w:p w:rsidR="00DC4079" w:rsidRDefault="00647ED0">
      <w:pPr>
        <w:spacing w:line="600" w:lineRule="exact"/>
        <w:ind w:firstLineChars="214" w:firstLine="685"/>
        <w:jc w:val="left"/>
        <w:rPr>
          <w:rStyle w:val="NormalCharacter"/>
          <w:rFonts w:ascii="仿宋" w:eastAsia="仿宋" w:hAnsi="仿宋"/>
          <w:color w:val="000000" w:themeColor="text1"/>
        </w:rPr>
      </w:pPr>
      <w:r>
        <w:rPr>
          <w:rFonts w:ascii="仿宋" w:eastAsia="仿宋" w:hAnsi="仿宋"/>
          <w:color w:val="000000" w:themeColor="text1"/>
          <w:szCs w:val="32"/>
        </w:rPr>
        <w:t>2</w:t>
      </w:r>
      <w:r>
        <w:rPr>
          <w:rFonts w:ascii="仿宋" w:eastAsia="仿宋" w:hAnsi="仿宋" w:hint="eastAsia"/>
          <w:color w:val="000000" w:themeColor="text1"/>
          <w:szCs w:val="32"/>
        </w:rPr>
        <w:t>.</w:t>
      </w:r>
      <w:r>
        <w:rPr>
          <w:rFonts w:ascii="仿宋" w:eastAsia="仿宋" w:hAnsi="仿宋" w:cs="仿宋_GB2312" w:hint="eastAsia"/>
          <w:szCs w:val="32"/>
        </w:rPr>
        <w:t>2023年，</w:t>
      </w:r>
      <w:r>
        <w:rPr>
          <w:rFonts w:ascii="仿宋" w:eastAsia="仿宋" w:hAnsi="仿宋" w:hint="eastAsia"/>
          <w:szCs w:val="32"/>
        </w:rPr>
        <w:t>共办结行政处罚案件19件（含2022年未办结案件4件），普通程序立案查处违法行为12件，包括种子、农药、肥料、农产品、</w:t>
      </w:r>
      <w:proofErr w:type="gramStart"/>
      <w:r>
        <w:rPr>
          <w:rFonts w:ascii="仿宋" w:eastAsia="仿宋" w:hAnsi="仿宋" w:hint="eastAsia"/>
          <w:szCs w:val="32"/>
        </w:rPr>
        <w:t>兽药案</w:t>
      </w:r>
      <w:proofErr w:type="gramEnd"/>
      <w:r>
        <w:rPr>
          <w:rFonts w:ascii="仿宋" w:eastAsia="仿宋" w:hAnsi="仿宋" w:hint="eastAsia"/>
          <w:szCs w:val="32"/>
        </w:rPr>
        <w:t>各1件，</w:t>
      </w:r>
      <w:proofErr w:type="gramStart"/>
      <w:r>
        <w:rPr>
          <w:rFonts w:ascii="仿宋" w:eastAsia="仿宋" w:hAnsi="仿宋" w:hint="eastAsia"/>
          <w:szCs w:val="32"/>
        </w:rPr>
        <w:t>饲料案</w:t>
      </w:r>
      <w:proofErr w:type="gramEnd"/>
      <w:r>
        <w:rPr>
          <w:rFonts w:ascii="仿宋" w:eastAsia="仿宋" w:hAnsi="仿宋" w:hint="eastAsia"/>
          <w:szCs w:val="32"/>
        </w:rPr>
        <w:t>7件,简易程序查处违法行为5件。目前除2个</w:t>
      </w:r>
      <w:proofErr w:type="gramStart"/>
      <w:r>
        <w:rPr>
          <w:rFonts w:ascii="仿宋" w:eastAsia="仿宋" w:hAnsi="仿宋" w:hint="eastAsia"/>
          <w:szCs w:val="32"/>
        </w:rPr>
        <w:t>饲料案</w:t>
      </w:r>
      <w:proofErr w:type="gramEnd"/>
      <w:r>
        <w:rPr>
          <w:rFonts w:ascii="仿宋" w:eastAsia="仿宋" w:hAnsi="仿宋" w:hint="eastAsia"/>
          <w:szCs w:val="32"/>
        </w:rPr>
        <w:t>未结案外，其余案件全部办结，罚没款371741.5元，没收非法财物货值</w:t>
      </w:r>
      <w:r>
        <w:rPr>
          <w:rFonts w:ascii="仿宋" w:eastAsia="仿宋" w:hAnsi="仿宋"/>
          <w:szCs w:val="32"/>
        </w:rPr>
        <w:t>23666</w:t>
      </w:r>
      <w:r>
        <w:rPr>
          <w:rFonts w:ascii="仿宋" w:eastAsia="仿宋" w:hAnsi="仿宋" w:hint="eastAsia"/>
          <w:szCs w:val="32"/>
        </w:rPr>
        <w:t>元。全年共出动执法人员910人次, 在种子、肥料领域对30家生产经营业户开展“双随机”执法检查;在农药、</w:t>
      </w:r>
      <w:r>
        <w:rPr>
          <w:rFonts w:ascii="仿宋" w:eastAsia="仿宋" w:hAnsi="仿宋" w:hint="eastAsia"/>
          <w:szCs w:val="32"/>
        </w:rPr>
        <w:lastRenderedPageBreak/>
        <w:t>兽药、饲料、农产品质</w:t>
      </w:r>
      <w:proofErr w:type="gramStart"/>
      <w:r>
        <w:rPr>
          <w:rFonts w:ascii="仿宋" w:eastAsia="仿宋" w:hAnsi="仿宋" w:hint="eastAsia"/>
          <w:szCs w:val="32"/>
        </w:rPr>
        <w:t>量安全</w:t>
      </w:r>
      <w:proofErr w:type="gramEnd"/>
      <w:r>
        <w:rPr>
          <w:rFonts w:ascii="仿宋" w:eastAsia="仿宋" w:hAnsi="仿宋" w:hint="eastAsia"/>
          <w:szCs w:val="32"/>
        </w:rPr>
        <w:t>等领域生产、经营环节开展监督执法检查243次，开展种子执法专项行动1次，开展饲料标签执法检查专项行动1次，联合市农业综合行政执法队开展农机执法专项行动3次。共检查种子、农药、肥料、饲料等生产企业26家，</w:t>
      </w:r>
      <w:r>
        <w:rPr>
          <w:rFonts w:ascii="仿宋" w:eastAsia="仿宋" w:hAnsi="仿宋" w:cs="仿宋" w:hint="eastAsia"/>
          <w:szCs w:val="32"/>
        </w:rPr>
        <w:t>农业专业合作社18家，</w:t>
      </w:r>
      <w:r>
        <w:rPr>
          <w:rFonts w:ascii="仿宋" w:eastAsia="仿宋" w:hAnsi="仿宋" w:hint="eastAsia"/>
          <w:szCs w:val="32"/>
        </w:rPr>
        <w:t>农资经营商店201家，农机合作社18家次,农机维修网点10家,农机大户12家，蔬菜大棚6户,检查农机车辆52台，卷帘机12台，现场排查安全隐患32处，纠正违法行为15个，立案查处11起。</w:t>
      </w:r>
      <w:r>
        <w:rPr>
          <w:rStyle w:val="NormalCharacter"/>
          <w:rFonts w:ascii="仿宋" w:eastAsia="仿宋" w:hAnsi="仿宋"/>
          <w:color w:val="000000" w:themeColor="text1"/>
        </w:rPr>
        <w:t xml:space="preserve"> </w:t>
      </w:r>
    </w:p>
    <w:p w:rsidR="00DC4079" w:rsidRDefault="00647ED0">
      <w:pPr>
        <w:adjustRightInd w:val="0"/>
        <w:snapToGrid w:val="0"/>
        <w:spacing w:line="600" w:lineRule="exact"/>
        <w:ind w:firstLineChars="214" w:firstLine="687"/>
        <w:jc w:val="left"/>
        <w:rPr>
          <w:rFonts w:ascii="仿宋" w:eastAsia="仿宋" w:hAnsi="仿宋"/>
          <w:b/>
          <w:szCs w:val="32"/>
        </w:rPr>
      </w:pPr>
      <w:r>
        <w:rPr>
          <w:rFonts w:ascii="仿宋" w:eastAsia="仿宋" w:hAnsi="仿宋" w:hint="eastAsia"/>
          <w:b/>
          <w:szCs w:val="32"/>
        </w:rPr>
        <w:t>（三）提升科学民主依法决策水平</w:t>
      </w:r>
    </w:p>
    <w:p w:rsidR="00DC4079" w:rsidRDefault="00647ED0">
      <w:pPr>
        <w:adjustRightInd w:val="0"/>
        <w:snapToGrid w:val="0"/>
        <w:spacing w:line="600" w:lineRule="exact"/>
        <w:ind w:firstLineChars="214" w:firstLine="685"/>
        <w:jc w:val="left"/>
        <w:rPr>
          <w:rFonts w:ascii="仿宋" w:eastAsia="仿宋" w:hAnsi="仿宋"/>
          <w:color w:val="000000" w:themeColor="text1"/>
          <w:szCs w:val="32"/>
        </w:rPr>
      </w:pPr>
      <w:r>
        <w:rPr>
          <w:rFonts w:ascii="仿宋" w:eastAsia="仿宋" w:hAnsi="仿宋" w:hint="eastAsia"/>
          <w:szCs w:val="32"/>
        </w:rPr>
        <w:t>1.严格落实重大行政决策程序制度。进一步完善行政执法体制机制。完善行政许可、行政检查、行政强制、行政处罚的各项制度，坚持执法检查计划管理，做好执法登记、备案制，形成行政处罚案件</w:t>
      </w:r>
      <w:r>
        <w:rPr>
          <w:rFonts w:ascii="仿宋" w:eastAsia="仿宋" w:hAnsi="仿宋"/>
          <w:szCs w:val="32"/>
        </w:rPr>
        <w:t>审核、</w:t>
      </w:r>
      <w:r>
        <w:rPr>
          <w:rFonts w:ascii="仿宋" w:eastAsia="仿宋" w:hAnsi="仿宋" w:hint="eastAsia"/>
          <w:szCs w:val="32"/>
        </w:rPr>
        <w:t>法制审核、备案常态化。完善法治政府建设推进机制。为加快推进“法</w:t>
      </w:r>
      <w:proofErr w:type="gramStart"/>
      <w:r>
        <w:rPr>
          <w:rFonts w:ascii="仿宋" w:eastAsia="仿宋" w:hAnsi="仿宋" w:hint="eastAsia"/>
          <w:szCs w:val="32"/>
        </w:rPr>
        <w:t>治金</w:t>
      </w:r>
      <w:proofErr w:type="gramEnd"/>
      <w:r>
        <w:rPr>
          <w:rFonts w:ascii="仿宋" w:eastAsia="仿宋" w:hAnsi="仿宋" w:hint="eastAsia"/>
          <w:szCs w:val="32"/>
        </w:rPr>
        <w:t>普”建设，结合新区法治政府建设工作要点对本局推进法治政府建设进行年度工作部署。认真落实国务院《重大行政决策程序暂行条例》《大连市重大行政决策程序规定》，引入合法性审查机制等，让行政</w:t>
      </w:r>
      <w:r>
        <w:rPr>
          <w:rFonts w:ascii="仿宋" w:eastAsia="仿宋" w:hAnsi="仿宋" w:hint="eastAsia"/>
          <w:color w:val="000000" w:themeColor="text1"/>
          <w:szCs w:val="32"/>
        </w:rPr>
        <w:t>决策更加透明科学规范。</w:t>
      </w:r>
    </w:p>
    <w:p w:rsidR="00DC4079" w:rsidRDefault="00647ED0">
      <w:pPr>
        <w:adjustRightInd w:val="0"/>
        <w:snapToGrid w:val="0"/>
        <w:spacing w:line="600" w:lineRule="exact"/>
        <w:ind w:firstLineChars="214" w:firstLine="685"/>
        <w:jc w:val="left"/>
        <w:rPr>
          <w:rFonts w:ascii="仿宋" w:eastAsia="仿宋" w:hAnsi="仿宋"/>
          <w:color w:val="000000" w:themeColor="text1"/>
          <w:szCs w:val="32"/>
        </w:rPr>
      </w:pPr>
      <w:r>
        <w:rPr>
          <w:rFonts w:ascii="仿宋" w:eastAsia="仿宋" w:hAnsi="仿宋"/>
          <w:color w:val="000000" w:themeColor="text1"/>
          <w:szCs w:val="32"/>
        </w:rPr>
        <w:t>2</w:t>
      </w:r>
      <w:r>
        <w:rPr>
          <w:rFonts w:ascii="仿宋" w:eastAsia="仿宋" w:hAnsi="仿宋" w:hint="eastAsia"/>
          <w:color w:val="000000" w:themeColor="text1"/>
          <w:szCs w:val="32"/>
        </w:rPr>
        <w:t>.切实发挥法律顾问作用。重大行政决策或行政行为在局党组会讨论之前的规范性文件</w:t>
      </w:r>
      <w:r>
        <w:rPr>
          <w:rFonts w:ascii="仿宋" w:eastAsia="仿宋" w:hAnsi="仿宋" w:hint="eastAsia"/>
          <w:bCs/>
          <w:color w:val="000000" w:themeColor="text1"/>
        </w:rPr>
        <w:t>合法性</w:t>
      </w:r>
      <w:r>
        <w:rPr>
          <w:rFonts w:ascii="仿宋" w:eastAsia="仿宋" w:hAnsi="仿宋" w:hint="eastAsia"/>
          <w:color w:val="000000" w:themeColor="text1"/>
          <w:szCs w:val="32"/>
        </w:rPr>
        <w:t>审查及公平竞争审查等环节要征求法律顾问意见，将法律风险降到最低。</w:t>
      </w:r>
    </w:p>
    <w:p w:rsidR="00DC4079" w:rsidRDefault="00647ED0">
      <w:pPr>
        <w:adjustRightInd w:val="0"/>
        <w:snapToGrid w:val="0"/>
        <w:spacing w:line="600" w:lineRule="exact"/>
        <w:ind w:firstLineChars="214" w:firstLine="687"/>
        <w:jc w:val="left"/>
        <w:rPr>
          <w:rFonts w:ascii="仿宋" w:eastAsia="仿宋" w:hAnsi="仿宋"/>
          <w:b/>
          <w:color w:val="000000" w:themeColor="text1"/>
          <w:szCs w:val="32"/>
        </w:rPr>
      </w:pPr>
      <w:r>
        <w:rPr>
          <w:rFonts w:ascii="仿宋" w:eastAsia="仿宋" w:hAnsi="仿宋" w:hint="eastAsia"/>
          <w:b/>
          <w:color w:val="000000" w:themeColor="text1"/>
          <w:szCs w:val="32"/>
        </w:rPr>
        <w:t>（四）深化执法体制改革，坚持严格规范公正文明执法</w:t>
      </w:r>
    </w:p>
    <w:p w:rsidR="00DC4079" w:rsidRDefault="00647ED0">
      <w:pPr>
        <w:adjustRightInd w:val="0"/>
        <w:snapToGrid w:val="0"/>
        <w:spacing w:line="600" w:lineRule="exact"/>
        <w:ind w:firstLineChars="214" w:firstLine="685"/>
        <w:jc w:val="left"/>
        <w:rPr>
          <w:rFonts w:ascii="仿宋" w:eastAsia="仿宋" w:hAnsi="仿宋"/>
          <w:color w:val="000000" w:themeColor="text1"/>
          <w:szCs w:val="32"/>
        </w:rPr>
      </w:pPr>
      <w:r>
        <w:rPr>
          <w:rFonts w:ascii="仿宋" w:eastAsia="仿宋" w:hAnsi="仿宋" w:hint="eastAsia"/>
          <w:color w:val="000000" w:themeColor="text1"/>
          <w:szCs w:val="32"/>
        </w:rPr>
        <w:lastRenderedPageBreak/>
        <w:t>1.深化行政执法体制改革，规范行政执法行为。结合综合执法改革与建设，进一步规范行政裁量权，制定执法检查计划，按计划开展执法活动并严格履行公开公示程序，杜绝乱检查、乱罚款。</w:t>
      </w:r>
    </w:p>
    <w:p w:rsidR="00DC4079" w:rsidRDefault="00647ED0">
      <w:pPr>
        <w:spacing w:line="600" w:lineRule="exact"/>
        <w:ind w:firstLineChars="214" w:firstLine="685"/>
        <w:jc w:val="left"/>
        <w:rPr>
          <w:rFonts w:ascii="仿宋" w:eastAsia="仿宋" w:hAnsi="仿宋"/>
          <w:color w:val="000000" w:themeColor="text1"/>
        </w:rPr>
      </w:pPr>
      <w:r>
        <w:rPr>
          <w:rFonts w:ascii="仿宋" w:eastAsia="仿宋" w:hAnsi="仿宋"/>
          <w:color w:val="000000" w:themeColor="text1"/>
        </w:rPr>
        <w:t>2</w:t>
      </w:r>
      <w:r>
        <w:rPr>
          <w:rFonts w:ascii="仿宋" w:eastAsia="仿宋" w:hAnsi="仿宋" w:hint="eastAsia"/>
          <w:color w:val="000000" w:themeColor="text1"/>
        </w:rPr>
        <w:t>.强化文明执法理念。执法中注重运用说服教育、劝导示范、警示告诫、指导约谈等方式，杜绝粗暴野蛮执法、运动式执法、“一刀切”执法等行为，确保执法有力度也有温度。</w:t>
      </w:r>
    </w:p>
    <w:p w:rsidR="00DC4079" w:rsidRDefault="00647ED0">
      <w:pPr>
        <w:ind w:firstLine="640"/>
        <w:rPr>
          <w:rFonts w:cs="仿宋_GB2312"/>
        </w:rPr>
      </w:pPr>
      <w:r>
        <w:rPr>
          <w:rFonts w:ascii="仿宋" w:eastAsia="仿宋" w:hAnsi="仿宋" w:hint="eastAsia"/>
          <w:color w:val="000000" w:themeColor="text1"/>
        </w:rPr>
        <w:t>3.规范行政行为。</w:t>
      </w:r>
      <w:r>
        <w:rPr>
          <w:rFonts w:ascii="仿宋" w:eastAsia="仿宋" w:hAnsi="仿宋" w:hint="eastAsia"/>
          <w:szCs w:val="32"/>
        </w:rPr>
        <w:t>2023年，我局内部进行两次案卷评查工作，并针对问题进行整改反馈，不断提高执法案卷质量。执法队李欣、徐威萍主办的“经营无产品质量检验合格证的宠物饲料案”</w:t>
      </w:r>
      <w:proofErr w:type="gramStart"/>
      <w:r>
        <w:rPr>
          <w:rFonts w:ascii="仿宋" w:eastAsia="仿宋" w:hAnsi="仿宋" w:hint="eastAsia"/>
          <w:szCs w:val="32"/>
        </w:rPr>
        <w:t>被农业</w:t>
      </w:r>
      <w:proofErr w:type="gramEnd"/>
      <w:r>
        <w:rPr>
          <w:rFonts w:ascii="仿宋" w:eastAsia="仿宋" w:hAnsi="仿宋" w:hint="eastAsia"/>
          <w:szCs w:val="32"/>
        </w:rPr>
        <w:t>农村部评为2022年度全国农业行政处罚优秀案卷和2022年度全国农业行政处罚优秀文书；王赫、谷玉强主办的</w:t>
      </w:r>
      <w:proofErr w:type="gramStart"/>
      <w:r>
        <w:rPr>
          <w:rFonts w:ascii="仿宋" w:eastAsia="仿宋" w:hAnsi="仿宋" w:hint="eastAsia"/>
          <w:szCs w:val="32"/>
        </w:rPr>
        <w:t>农药案</w:t>
      </w:r>
      <w:proofErr w:type="gramEnd"/>
      <w:r>
        <w:rPr>
          <w:rFonts w:ascii="仿宋" w:eastAsia="仿宋" w:hAnsi="仿宋" w:hint="eastAsia"/>
          <w:szCs w:val="32"/>
        </w:rPr>
        <w:t>及徐威萍、张兰兰主办的</w:t>
      </w:r>
      <w:proofErr w:type="gramStart"/>
      <w:r>
        <w:rPr>
          <w:rFonts w:ascii="仿宋" w:eastAsia="仿宋" w:hAnsi="仿宋" w:hint="eastAsia"/>
          <w:szCs w:val="32"/>
        </w:rPr>
        <w:t>饲料案</w:t>
      </w:r>
      <w:proofErr w:type="gramEnd"/>
      <w:r>
        <w:rPr>
          <w:rFonts w:ascii="仿宋" w:eastAsia="仿宋" w:hAnsi="仿宋" w:hint="eastAsia"/>
          <w:szCs w:val="32"/>
        </w:rPr>
        <w:t>被大连市农业农村局评为2023年度优秀案卷；徐威萍、王波主办的“金普新区某鱼药店经营无生产许可证的饲料添加剂案”入选大连市2022年农业行政执法典型案例；执法人员李欣入选辽宁省农业综合行政执法办案指导小组和全省案卷评查工作小组。</w:t>
      </w:r>
    </w:p>
    <w:p w:rsidR="00DC4079" w:rsidRDefault="00647ED0">
      <w:pPr>
        <w:adjustRightInd w:val="0"/>
        <w:snapToGrid w:val="0"/>
        <w:spacing w:line="600" w:lineRule="exact"/>
        <w:ind w:firstLineChars="214" w:firstLine="687"/>
        <w:jc w:val="left"/>
        <w:rPr>
          <w:rFonts w:ascii="仿宋" w:eastAsia="仿宋" w:hAnsi="仿宋"/>
          <w:b/>
          <w:color w:val="000000" w:themeColor="text1"/>
          <w:szCs w:val="32"/>
        </w:rPr>
      </w:pPr>
      <w:r>
        <w:rPr>
          <w:rFonts w:ascii="仿宋" w:eastAsia="仿宋" w:hAnsi="仿宋" w:hint="eastAsia"/>
          <w:b/>
          <w:color w:val="000000" w:themeColor="text1"/>
          <w:szCs w:val="32"/>
        </w:rPr>
        <w:t>（五）依法预防处置重大突发事件</w:t>
      </w:r>
    </w:p>
    <w:p w:rsidR="00DC4079" w:rsidRDefault="00647ED0">
      <w:pPr>
        <w:adjustRightInd w:val="0"/>
        <w:snapToGrid w:val="0"/>
        <w:spacing w:line="600" w:lineRule="exact"/>
        <w:ind w:firstLineChars="214" w:firstLine="685"/>
        <w:jc w:val="left"/>
        <w:rPr>
          <w:rFonts w:ascii="仿宋" w:eastAsia="仿宋" w:hAnsi="仿宋"/>
          <w:color w:val="000000" w:themeColor="text1"/>
          <w:szCs w:val="32"/>
        </w:rPr>
      </w:pPr>
      <w:r>
        <w:rPr>
          <w:rFonts w:ascii="仿宋" w:eastAsia="仿宋" w:hAnsi="仿宋" w:hint="eastAsia"/>
          <w:color w:val="000000" w:themeColor="text1"/>
          <w:szCs w:val="32"/>
        </w:rPr>
        <w:t>1.健全重大突发事件应对机制。局主要领导在局干部大会等重要会议上反复强调应对重大突发事件的重要性，</w:t>
      </w:r>
      <w:r>
        <w:rPr>
          <w:rFonts w:ascii="仿宋" w:eastAsia="仿宋" w:hAnsi="仿宋" w:hint="eastAsia"/>
          <w:color w:val="000000" w:themeColor="text1"/>
          <w:szCs w:val="32"/>
        </w:rPr>
        <w:lastRenderedPageBreak/>
        <w:t>增加党员干部风险防范意识，强化防范化解农业农村领域重大风险责任。建立健全应急预案，并能做到面对重大突发事件能够确保预案得到有效落实。</w:t>
      </w:r>
    </w:p>
    <w:p w:rsidR="00DC4079" w:rsidRDefault="00647ED0">
      <w:pPr>
        <w:adjustRightInd w:val="0"/>
        <w:snapToGrid w:val="0"/>
        <w:spacing w:line="600" w:lineRule="exact"/>
        <w:ind w:firstLineChars="214" w:firstLine="685"/>
        <w:jc w:val="left"/>
        <w:rPr>
          <w:rFonts w:ascii="仿宋" w:eastAsia="仿宋" w:hAnsi="仿宋"/>
          <w:color w:val="000000" w:themeColor="text1"/>
          <w:szCs w:val="32"/>
        </w:rPr>
      </w:pPr>
      <w:r>
        <w:rPr>
          <w:rFonts w:ascii="仿宋" w:eastAsia="仿宋" w:hAnsi="仿宋" w:hint="eastAsia"/>
          <w:color w:val="000000" w:themeColor="text1"/>
          <w:szCs w:val="32"/>
        </w:rPr>
        <w:t>2.提升突发事件依法处置能力。日常注重应急物资的储备，如遇突发事件能够提供充足保障；加强应急救援队伍建设，特殊时期实行2</w:t>
      </w:r>
      <w:r>
        <w:rPr>
          <w:rFonts w:ascii="仿宋" w:eastAsia="仿宋" w:hAnsi="仿宋"/>
          <w:color w:val="000000" w:themeColor="text1"/>
          <w:szCs w:val="32"/>
        </w:rPr>
        <w:t>4</w:t>
      </w:r>
      <w:r>
        <w:rPr>
          <w:rFonts w:ascii="仿宋" w:eastAsia="仿宋" w:hAnsi="仿宋" w:hint="eastAsia"/>
          <w:color w:val="000000" w:themeColor="text1"/>
          <w:szCs w:val="32"/>
        </w:rPr>
        <w:t>小时值班值守制度，确保防洪防汛等职责能够得以正确履行。</w:t>
      </w:r>
    </w:p>
    <w:p w:rsidR="00DC4079" w:rsidRDefault="00647ED0">
      <w:pPr>
        <w:adjustRightInd w:val="0"/>
        <w:snapToGrid w:val="0"/>
        <w:spacing w:line="600" w:lineRule="exact"/>
        <w:ind w:firstLineChars="214" w:firstLine="687"/>
        <w:jc w:val="left"/>
        <w:rPr>
          <w:rFonts w:ascii="仿宋" w:eastAsia="仿宋" w:hAnsi="仿宋"/>
          <w:b/>
          <w:color w:val="000000" w:themeColor="text1"/>
          <w:szCs w:val="32"/>
        </w:rPr>
      </w:pPr>
      <w:r>
        <w:rPr>
          <w:rFonts w:ascii="仿宋" w:eastAsia="仿宋" w:hAnsi="仿宋" w:hint="eastAsia"/>
          <w:b/>
          <w:color w:val="000000" w:themeColor="text1"/>
          <w:szCs w:val="32"/>
        </w:rPr>
        <w:t>（六）健全行政纠纷的预防和化解机制</w:t>
      </w:r>
    </w:p>
    <w:p w:rsidR="00DC4079" w:rsidRDefault="00647ED0">
      <w:pPr>
        <w:adjustRightInd w:val="0"/>
        <w:snapToGrid w:val="0"/>
        <w:spacing w:line="600" w:lineRule="exact"/>
        <w:ind w:firstLineChars="214" w:firstLine="685"/>
        <w:jc w:val="left"/>
        <w:rPr>
          <w:rFonts w:ascii="仿宋" w:eastAsia="仿宋" w:hAnsi="仿宋"/>
          <w:color w:val="000000" w:themeColor="text1"/>
          <w:szCs w:val="32"/>
        </w:rPr>
      </w:pPr>
      <w:r>
        <w:rPr>
          <w:rFonts w:ascii="仿宋" w:eastAsia="仿宋" w:hAnsi="仿宋" w:hint="eastAsia"/>
          <w:color w:val="000000" w:themeColor="text1"/>
          <w:szCs w:val="32"/>
        </w:rPr>
        <w:t>1.加强矛盾纠纷的源头预防和排查。注重</w:t>
      </w:r>
      <w:r>
        <w:rPr>
          <w:rFonts w:ascii="仿宋" w:eastAsia="仿宋" w:hAnsi="仿宋"/>
          <w:color w:val="000000" w:themeColor="text1"/>
          <w:szCs w:val="32"/>
        </w:rPr>
        <w:t>排查预警，落实责任监督，认真做好多元化解，确保</w:t>
      </w:r>
      <w:r>
        <w:rPr>
          <w:rFonts w:ascii="仿宋" w:eastAsia="仿宋" w:hAnsi="仿宋" w:hint="eastAsia"/>
          <w:color w:val="000000" w:themeColor="text1"/>
          <w:szCs w:val="32"/>
        </w:rPr>
        <w:t>农经</w:t>
      </w:r>
      <w:r>
        <w:rPr>
          <w:rFonts w:ascii="仿宋" w:eastAsia="仿宋" w:hAnsi="仿宋"/>
          <w:color w:val="000000" w:themeColor="text1"/>
          <w:szCs w:val="32"/>
        </w:rPr>
        <w:t>、</w:t>
      </w:r>
      <w:r>
        <w:rPr>
          <w:rFonts w:ascii="仿宋" w:eastAsia="仿宋" w:hAnsi="仿宋" w:hint="eastAsia"/>
          <w:color w:val="000000" w:themeColor="text1"/>
          <w:szCs w:val="32"/>
        </w:rPr>
        <w:t>畜牧、水利和渔业等</w:t>
      </w:r>
      <w:r>
        <w:rPr>
          <w:rFonts w:ascii="仿宋" w:eastAsia="仿宋" w:hAnsi="仿宋"/>
          <w:color w:val="000000" w:themeColor="text1"/>
          <w:szCs w:val="32"/>
        </w:rPr>
        <w:t>各</w:t>
      </w:r>
      <w:r>
        <w:rPr>
          <w:rFonts w:ascii="仿宋" w:eastAsia="仿宋" w:hAnsi="仿宋" w:hint="eastAsia"/>
          <w:color w:val="000000" w:themeColor="text1"/>
          <w:szCs w:val="32"/>
        </w:rPr>
        <w:t>领域工作</w:t>
      </w:r>
      <w:r>
        <w:rPr>
          <w:rFonts w:ascii="仿宋" w:eastAsia="仿宋" w:hAnsi="仿宋"/>
          <w:color w:val="000000" w:themeColor="text1"/>
          <w:szCs w:val="32"/>
        </w:rPr>
        <w:t>平稳有序开展。</w:t>
      </w:r>
    </w:p>
    <w:p w:rsidR="00DC4079" w:rsidRDefault="00647ED0">
      <w:pPr>
        <w:adjustRightInd w:val="0"/>
        <w:snapToGrid w:val="0"/>
        <w:spacing w:line="600" w:lineRule="exact"/>
        <w:ind w:firstLineChars="214" w:firstLine="685"/>
        <w:jc w:val="left"/>
        <w:rPr>
          <w:rFonts w:ascii="仿宋" w:eastAsia="仿宋" w:hAnsi="仿宋"/>
          <w:color w:val="000000" w:themeColor="text1"/>
          <w:szCs w:val="32"/>
        </w:rPr>
      </w:pPr>
      <w:r>
        <w:rPr>
          <w:rFonts w:ascii="仿宋" w:eastAsia="仿宋" w:hAnsi="仿宋" w:hint="eastAsia"/>
          <w:color w:val="000000" w:themeColor="text1"/>
          <w:szCs w:val="32"/>
        </w:rPr>
        <w:t>2.完善行政调解工作机制。认真梳理严格甄别把关，把涉法涉诉信访事项从普通信访渠道中剥离出来，加强与街道、村级的联络互动，做好指导协调，通过调解将矛盾纠纷妥善处理。对于应当诉讼、仲裁、复议解决的信访案件，“法定途径优先”，按程序积极引导百姓导入法定程序。对于属于行政部门职责的涉农信访案件，积极健全依法逐级走访制度，依法规范信访秩序，引导群众及时就地解决问题。全年信访情况稳定，局系统未发生</w:t>
      </w:r>
      <w:proofErr w:type="gramStart"/>
      <w:r>
        <w:rPr>
          <w:rFonts w:ascii="仿宋" w:eastAsia="仿宋" w:hAnsi="仿宋" w:hint="eastAsia"/>
          <w:color w:val="000000" w:themeColor="text1"/>
          <w:szCs w:val="32"/>
        </w:rPr>
        <w:t>重大非访案件</w:t>
      </w:r>
      <w:proofErr w:type="gramEnd"/>
      <w:r>
        <w:rPr>
          <w:rFonts w:ascii="仿宋" w:eastAsia="仿宋" w:hAnsi="仿宋" w:hint="eastAsia"/>
          <w:color w:val="000000" w:themeColor="text1"/>
          <w:szCs w:val="32"/>
        </w:rPr>
        <w:t>。</w:t>
      </w:r>
    </w:p>
    <w:p w:rsidR="00DC4079" w:rsidRDefault="00647ED0">
      <w:pPr>
        <w:adjustRightInd w:val="0"/>
        <w:snapToGrid w:val="0"/>
        <w:spacing w:line="600" w:lineRule="exact"/>
        <w:ind w:firstLineChars="214" w:firstLine="685"/>
        <w:jc w:val="left"/>
        <w:rPr>
          <w:rFonts w:ascii="仿宋" w:eastAsia="仿宋" w:hAnsi="仿宋"/>
          <w:color w:val="000000" w:themeColor="text1"/>
          <w:szCs w:val="32"/>
        </w:rPr>
      </w:pPr>
      <w:r>
        <w:rPr>
          <w:rFonts w:ascii="仿宋" w:eastAsia="仿宋" w:hAnsi="仿宋" w:hint="eastAsia"/>
          <w:color w:val="000000" w:themeColor="text1"/>
          <w:szCs w:val="32"/>
        </w:rPr>
        <w:t>3.做好行政复议和行政应诉工作。涉及重大公共利益、社会高度关注、可能引发群体性事件、检察机关提起</w:t>
      </w:r>
      <w:proofErr w:type="gramStart"/>
      <w:r>
        <w:rPr>
          <w:rFonts w:ascii="仿宋" w:eastAsia="仿宋" w:hAnsi="仿宋" w:hint="eastAsia"/>
          <w:color w:val="000000" w:themeColor="text1"/>
          <w:szCs w:val="32"/>
        </w:rPr>
        <w:t>行政公益</w:t>
      </w:r>
      <w:proofErr w:type="gramEnd"/>
      <w:r>
        <w:rPr>
          <w:rFonts w:ascii="仿宋" w:eastAsia="仿宋" w:hAnsi="仿宋" w:hint="eastAsia"/>
          <w:color w:val="000000" w:themeColor="text1"/>
          <w:szCs w:val="32"/>
        </w:rPr>
        <w:t>诉讼等案件，行政机关负责人出庭率达到100%。</w:t>
      </w:r>
    </w:p>
    <w:p w:rsidR="00DC4079" w:rsidRDefault="00647ED0">
      <w:pPr>
        <w:adjustRightInd w:val="0"/>
        <w:snapToGrid w:val="0"/>
        <w:spacing w:line="600" w:lineRule="exact"/>
        <w:ind w:firstLineChars="214" w:firstLine="687"/>
        <w:jc w:val="left"/>
        <w:rPr>
          <w:rFonts w:ascii="仿宋" w:eastAsia="仿宋" w:hAnsi="仿宋"/>
          <w:b/>
          <w:color w:val="000000" w:themeColor="text1"/>
          <w:szCs w:val="32"/>
        </w:rPr>
      </w:pPr>
      <w:r>
        <w:rPr>
          <w:rFonts w:ascii="仿宋" w:eastAsia="仿宋" w:hAnsi="仿宋" w:hint="eastAsia"/>
          <w:b/>
          <w:color w:val="000000" w:themeColor="text1"/>
          <w:szCs w:val="32"/>
        </w:rPr>
        <w:lastRenderedPageBreak/>
        <w:t>（七）全面提升政务公开水平</w:t>
      </w:r>
    </w:p>
    <w:p w:rsidR="00DC4079" w:rsidRDefault="00647ED0">
      <w:pPr>
        <w:spacing w:line="600" w:lineRule="exact"/>
        <w:ind w:firstLine="640"/>
        <w:rPr>
          <w:rFonts w:ascii="仿宋" w:eastAsia="仿宋" w:hAnsi="仿宋"/>
          <w:color w:val="000000" w:themeColor="text1"/>
          <w:szCs w:val="32"/>
        </w:rPr>
      </w:pPr>
      <w:r>
        <w:rPr>
          <w:rFonts w:ascii="仿宋" w:eastAsia="仿宋" w:hAnsi="仿宋" w:hint="eastAsia"/>
          <w:color w:val="000000" w:themeColor="text1"/>
          <w:szCs w:val="32"/>
        </w:rPr>
        <w:t>认真贯彻落实《政府信息公开条例》，主动公开法定公开事项内容。</w:t>
      </w:r>
      <w:r>
        <w:rPr>
          <w:rFonts w:ascii="仿宋" w:eastAsia="仿宋" w:hAnsi="仿宋" w:cs="仿宋_GB2312" w:hint="eastAsia"/>
          <w:szCs w:val="32"/>
        </w:rPr>
        <w:t>根据市农业农村局统一部署，开展</w:t>
      </w:r>
      <w:r>
        <w:rPr>
          <w:rFonts w:ascii="仿宋" w:eastAsia="仿宋" w:hAnsi="仿宋" w:cs="仿宋_GB2312"/>
          <w:szCs w:val="32"/>
        </w:rPr>
        <w:t>全国农业综合执法信息共享平台执法信息</w:t>
      </w:r>
      <w:r>
        <w:rPr>
          <w:rFonts w:ascii="仿宋" w:eastAsia="仿宋" w:hAnsi="仿宋" w:cs="仿宋_GB2312" w:hint="eastAsia"/>
          <w:szCs w:val="32"/>
        </w:rPr>
        <w:t>报送工作。推广使用全国农业综合执法信息平台，</w:t>
      </w:r>
      <w:r>
        <w:rPr>
          <w:rFonts w:ascii="仿宋" w:eastAsia="仿宋" w:hAnsi="仿宋" w:cs="仿宋_GB2312"/>
          <w:szCs w:val="32"/>
        </w:rPr>
        <w:t>执法人员</w:t>
      </w:r>
      <w:r>
        <w:rPr>
          <w:rFonts w:ascii="仿宋" w:eastAsia="仿宋" w:hAnsi="仿宋" w:cs="仿宋_GB2312" w:hint="eastAsia"/>
          <w:szCs w:val="32"/>
        </w:rPr>
        <w:t>开通账号170人</w:t>
      </w:r>
      <w:r>
        <w:rPr>
          <w:rFonts w:ascii="仿宋" w:eastAsia="仿宋" w:hAnsi="仿宋" w:cs="仿宋_GB2312"/>
          <w:szCs w:val="32"/>
        </w:rPr>
        <w:t>，</w:t>
      </w:r>
      <w:r>
        <w:rPr>
          <w:rFonts w:ascii="仿宋" w:eastAsia="仿宋" w:hAnsi="仿宋" w:cs="仿宋_GB2312" w:hint="eastAsia"/>
          <w:szCs w:val="32"/>
        </w:rPr>
        <w:t>积极</w:t>
      </w:r>
      <w:r>
        <w:rPr>
          <w:rFonts w:ascii="仿宋" w:eastAsia="仿宋" w:hAnsi="仿宋" w:cs="仿宋_GB2312"/>
          <w:szCs w:val="32"/>
        </w:rPr>
        <w:t>应用</w:t>
      </w:r>
      <w:r>
        <w:rPr>
          <w:rFonts w:ascii="仿宋" w:eastAsia="仿宋" w:hAnsi="仿宋" w:cs="仿宋_GB2312" w:hint="eastAsia"/>
          <w:szCs w:val="32"/>
        </w:rPr>
        <w:t>，</w:t>
      </w:r>
      <w:r>
        <w:rPr>
          <w:rFonts w:ascii="仿宋" w:eastAsia="仿宋" w:hAnsi="仿宋" w:cs="仿宋_GB2312"/>
          <w:szCs w:val="32"/>
        </w:rPr>
        <w:t>使用</w:t>
      </w:r>
      <w:r>
        <w:rPr>
          <w:rFonts w:ascii="仿宋" w:eastAsia="仿宋" w:hAnsi="仿宋" w:cs="仿宋_GB2312" w:hint="eastAsia"/>
          <w:szCs w:val="32"/>
        </w:rPr>
        <w:t>率在95</w:t>
      </w:r>
      <w:r>
        <w:rPr>
          <w:rFonts w:ascii="仿宋" w:eastAsia="仿宋" w:hAnsi="仿宋" w:cs="仿宋_GB2312"/>
          <w:szCs w:val="32"/>
        </w:rPr>
        <w:t>%</w:t>
      </w:r>
      <w:r>
        <w:rPr>
          <w:rFonts w:ascii="仿宋" w:eastAsia="仿宋" w:hAnsi="仿宋" w:cs="仿宋_GB2312" w:hint="eastAsia"/>
          <w:szCs w:val="32"/>
        </w:rPr>
        <w:t>以</w:t>
      </w:r>
      <w:r>
        <w:rPr>
          <w:rFonts w:ascii="仿宋" w:eastAsia="仿宋" w:hAnsi="仿宋" w:cs="仿宋_GB2312"/>
          <w:szCs w:val="32"/>
        </w:rPr>
        <w:t>上</w:t>
      </w:r>
      <w:r>
        <w:rPr>
          <w:rFonts w:ascii="仿宋" w:eastAsia="仿宋" w:hAnsi="仿宋" w:cs="仿宋_GB2312" w:hint="eastAsia"/>
          <w:szCs w:val="32"/>
        </w:rPr>
        <w:t>。</w:t>
      </w:r>
      <w:r>
        <w:rPr>
          <w:rFonts w:ascii="仿宋" w:eastAsia="仿宋" w:hAnsi="仿宋" w:hint="eastAsia"/>
          <w:color w:val="000000" w:themeColor="text1"/>
          <w:szCs w:val="32"/>
        </w:rPr>
        <w:t>同时，认真及时做好依申请公开工作。切实做好政务公开日活动。配合做好行政规范性文件集中统一公开和动态更新。</w:t>
      </w:r>
    </w:p>
    <w:p w:rsidR="00DC4079" w:rsidRDefault="00647ED0">
      <w:pPr>
        <w:adjustRightInd w:val="0"/>
        <w:snapToGrid w:val="0"/>
        <w:spacing w:line="600" w:lineRule="exact"/>
        <w:ind w:firstLineChars="214" w:firstLine="687"/>
        <w:jc w:val="left"/>
        <w:rPr>
          <w:rFonts w:ascii="仿宋" w:eastAsia="仿宋" w:hAnsi="仿宋"/>
          <w:color w:val="000000" w:themeColor="text1"/>
          <w:szCs w:val="32"/>
        </w:rPr>
      </w:pPr>
      <w:r>
        <w:rPr>
          <w:rFonts w:ascii="仿宋" w:eastAsia="仿宋" w:hAnsi="仿宋" w:hint="eastAsia"/>
          <w:b/>
          <w:color w:val="000000" w:themeColor="text1"/>
          <w:szCs w:val="32"/>
        </w:rPr>
        <w:t>（八）加强政务诚信建设</w:t>
      </w:r>
    </w:p>
    <w:p w:rsidR="00DC4079" w:rsidRDefault="00647ED0">
      <w:pPr>
        <w:adjustRightInd w:val="0"/>
        <w:snapToGrid w:val="0"/>
        <w:spacing w:line="600" w:lineRule="exact"/>
        <w:ind w:firstLineChars="214" w:firstLine="685"/>
        <w:jc w:val="left"/>
        <w:rPr>
          <w:rFonts w:ascii="仿宋" w:eastAsia="仿宋" w:hAnsi="仿宋"/>
          <w:color w:val="000000" w:themeColor="text1"/>
          <w:szCs w:val="32"/>
        </w:rPr>
      </w:pPr>
      <w:r>
        <w:rPr>
          <w:rFonts w:ascii="仿宋" w:eastAsia="仿宋" w:hAnsi="仿宋" w:hint="eastAsia"/>
          <w:color w:val="000000" w:themeColor="text1"/>
          <w:szCs w:val="32"/>
        </w:rPr>
        <w:t>1.选派精兵强将充实一线。为更好适应新区信用体系建设需求，选派年轻力量充实信用体系建设工作，确保信用工作能够得以良好开展。在切实做好信用日常工作的同时，组织力量加大宣传力度，积极向信用办信用简报报送信息。</w:t>
      </w:r>
    </w:p>
    <w:p w:rsidR="00DC4079" w:rsidRDefault="00647ED0">
      <w:pPr>
        <w:adjustRightInd w:val="0"/>
        <w:snapToGrid w:val="0"/>
        <w:spacing w:line="600" w:lineRule="exact"/>
        <w:ind w:firstLineChars="214" w:firstLine="685"/>
        <w:jc w:val="left"/>
        <w:rPr>
          <w:rFonts w:ascii="仿宋" w:eastAsia="仿宋" w:hAnsi="仿宋"/>
          <w:color w:val="000000" w:themeColor="text1"/>
        </w:rPr>
      </w:pPr>
      <w:r>
        <w:rPr>
          <w:rFonts w:ascii="仿宋" w:eastAsia="仿宋" w:hAnsi="仿宋"/>
          <w:color w:val="000000" w:themeColor="text1"/>
        </w:rPr>
        <w:t>2</w:t>
      </w:r>
      <w:r>
        <w:rPr>
          <w:rFonts w:ascii="仿宋" w:eastAsia="仿宋" w:hAnsi="仿宋" w:hint="eastAsia"/>
          <w:color w:val="000000" w:themeColor="text1"/>
        </w:rPr>
        <w:t>.建立“政府承诺+社会监督+失信问责”机制。按照联合信用奖惩工作要求，按期报送联合</w:t>
      </w:r>
      <w:proofErr w:type="gramStart"/>
      <w:r>
        <w:rPr>
          <w:rFonts w:ascii="仿宋" w:eastAsia="仿宋" w:hAnsi="仿宋" w:hint="eastAsia"/>
          <w:color w:val="000000" w:themeColor="text1"/>
        </w:rPr>
        <w:t>奖惩台</w:t>
      </w:r>
      <w:proofErr w:type="gramEnd"/>
      <w:r>
        <w:rPr>
          <w:rFonts w:ascii="仿宋" w:eastAsia="仿宋" w:hAnsi="仿宋" w:hint="eastAsia"/>
          <w:color w:val="000000" w:themeColor="text1"/>
        </w:rPr>
        <w:t>账。</w:t>
      </w:r>
    </w:p>
    <w:p w:rsidR="00DC4079" w:rsidRDefault="00647ED0">
      <w:pPr>
        <w:adjustRightInd w:val="0"/>
        <w:snapToGrid w:val="0"/>
        <w:spacing w:line="600" w:lineRule="exact"/>
        <w:ind w:firstLineChars="214" w:firstLine="685"/>
        <w:jc w:val="left"/>
        <w:rPr>
          <w:rFonts w:ascii="仿宋" w:eastAsia="仿宋" w:hAnsi="仿宋"/>
          <w:color w:val="000000" w:themeColor="text1"/>
          <w:szCs w:val="32"/>
        </w:rPr>
      </w:pPr>
      <w:r>
        <w:rPr>
          <w:rFonts w:ascii="仿宋" w:eastAsia="仿宋" w:hAnsi="仿宋"/>
          <w:color w:val="000000" w:themeColor="text1"/>
          <w:szCs w:val="32"/>
        </w:rPr>
        <w:t>3</w:t>
      </w:r>
      <w:r>
        <w:rPr>
          <w:rFonts w:ascii="仿宋" w:eastAsia="仿宋" w:hAnsi="仿宋" w:hint="eastAsia"/>
          <w:color w:val="000000" w:themeColor="text1"/>
          <w:szCs w:val="32"/>
        </w:rPr>
        <w:t>.扎实开展失信约束措施清理规范工作。按照新区社会信用体系建设领导小组办公室的要求，继续</w:t>
      </w:r>
      <w:r>
        <w:rPr>
          <w:rFonts w:ascii="仿宋" w:eastAsia="仿宋" w:hAnsi="仿宋"/>
          <w:color w:val="000000" w:themeColor="text1"/>
          <w:szCs w:val="32"/>
        </w:rPr>
        <w:t>做好</w:t>
      </w:r>
      <w:r>
        <w:rPr>
          <w:rFonts w:ascii="仿宋" w:eastAsia="仿宋" w:hAnsi="仿宋" w:hint="eastAsia"/>
          <w:color w:val="000000" w:themeColor="text1"/>
          <w:szCs w:val="32"/>
        </w:rPr>
        <w:t>清理规范失信约束措施工作。对已出台的针对管理对象失信行为认定（黑名单）、记录、归集、共享、公开、惩戒和信用修复等措施文件进行梳理，自查自纠。要求局机关及所属单位凡无法律法规等依据而</w:t>
      </w:r>
      <w:proofErr w:type="gramStart"/>
      <w:r>
        <w:rPr>
          <w:rFonts w:ascii="仿宋" w:eastAsia="仿宋" w:hAnsi="仿宋" w:hint="eastAsia"/>
          <w:color w:val="000000" w:themeColor="text1"/>
          <w:szCs w:val="32"/>
        </w:rPr>
        <w:t>作出</w:t>
      </w:r>
      <w:proofErr w:type="gramEnd"/>
      <w:r>
        <w:rPr>
          <w:rFonts w:ascii="仿宋" w:eastAsia="仿宋" w:hAnsi="仿宋" w:hint="eastAsia"/>
          <w:color w:val="000000" w:themeColor="text1"/>
          <w:szCs w:val="32"/>
        </w:rPr>
        <w:t>的“失信”认定等行为，均须认真开展清理，对于其他有明确依据的，要进一步规</w:t>
      </w:r>
      <w:r>
        <w:rPr>
          <w:rFonts w:ascii="仿宋" w:eastAsia="仿宋" w:hAnsi="仿宋" w:hint="eastAsia"/>
          <w:color w:val="000000" w:themeColor="text1"/>
          <w:szCs w:val="32"/>
        </w:rPr>
        <w:lastRenderedPageBreak/>
        <w:t>范，并制作失信约束</w:t>
      </w:r>
      <w:proofErr w:type="gramStart"/>
      <w:r>
        <w:rPr>
          <w:rFonts w:ascii="仿宋" w:eastAsia="仿宋" w:hAnsi="仿宋" w:hint="eastAsia"/>
          <w:color w:val="000000" w:themeColor="text1"/>
          <w:szCs w:val="32"/>
        </w:rPr>
        <w:t>措施台</w:t>
      </w:r>
      <w:proofErr w:type="gramEnd"/>
      <w:r>
        <w:rPr>
          <w:rFonts w:ascii="仿宋" w:eastAsia="仿宋" w:hAnsi="仿宋" w:hint="eastAsia"/>
          <w:color w:val="000000" w:themeColor="text1"/>
          <w:szCs w:val="32"/>
        </w:rPr>
        <w:t>账。清理</w:t>
      </w:r>
      <w:r>
        <w:rPr>
          <w:rFonts w:ascii="仿宋" w:eastAsia="仿宋" w:hAnsi="仿宋"/>
          <w:color w:val="000000" w:themeColor="text1"/>
          <w:szCs w:val="32"/>
        </w:rPr>
        <w:t>中</w:t>
      </w:r>
      <w:r>
        <w:rPr>
          <w:rFonts w:ascii="仿宋" w:eastAsia="仿宋" w:hAnsi="仿宋" w:hint="eastAsia"/>
          <w:color w:val="000000" w:themeColor="text1"/>
          <w:szCs w:val="32"/>
        </w:rPr>
        <w:t>未发现失信约束措施不规范现象，各项工作均能围绕营商环境建设要求切实开展。</w:t>
      </w:r>
    </w:p>
    <w:p w:rsidR="00DC4079" w:rsidRDefault="00647ED0">
      <w:pPr>
        <w:adjustRightInd w:val="0"/>
        <w:snapToGrid w:val="0"/>
        <w:spacing w:line="600" w:lineRule="exact"/>
        <w:ind w:firstLineChars="214" w:firstLine="685"/>
        <w:jc w:val="left"/>
        <w:rPr>
          <w:rFonts w:ascii="仿宋" w:eastAsia="仿宋" w:hAnsi="仿宋"/>
          <w:color w:val="000000" w:themeColor="text1"/>
          <w:szCs w:val="32"/>
        </w:rPr>
      </w:pPr>
      <w:r>
        <w:rPr>
          <w:rFonts w:ascii="仿宋" w:eastAsia="仿宋" w:hAnsi="仿宋"/>
          <w:color w:val="000000" w:themeColor="text1"/>
          <w:szCs w:val="32"/>
        </w:rPr>
        <w:t>4</w:t>
      </w:r>
      <w:r>
        <w:rPr>
          <w:rFonts w:ascii="仿宋" w:eastAsia="仿宋" w:hAnsi="仿宋" w:hint="eastAsia"/>
          <w:color w:val="000000" w:themeColor="text1"/>
          <w:szCs w:val="32"/>
        </w:rPr>
        <w:t>.认真编制完善信用资源目录。按照新区信用中心的要求，</w:t>
      </w:r>
      <w:proofErr w:type="gramStart"/>
      <w:r>
        <w:rPr>
          <w:rFonts w:ascii="仿宋" w:eastAsia="仿宋" w:hAnsi="仿宋" w:hint="eastAsia"/>
          <w:color w:val="000000" w:themeColor="text1"/>
          <w:szCs w:val="32"/>
        </w:rPr>
        <w:t>结合局</w:t>
      </w:r>
      <w:proofErr w:type="gramEnd"/>
      <w:r>
        <w:rPr>
          <w:rFonts w:ascii="仿宋" w:eastAsia="仿宋" w:hAnsi="仿宋" w:hint="eastAsia"/>
          <w:color w:val="000000" w:themeColor="text1"/>
          <w:szCs w:val="32"/>
        </w:rPr>
        <w:t>系统权责事项目录，认真编制完善信用资源目录，为新区信用体系建设提供一手数据。</w:t>
      </w:r>
    </w:p>
    <w:p w:rsidR="00DC4079" w:rsidRDefault="00647ED0">
      <w:pPr>
        <w:adjustRightInd w:val="0"/>
        <w:snapToGrid w:val="0"/>
        <w:spacing w:line="600" w:lineRule="exact"/>
        <w:ind w:firstLineChars="214" w:firstLine="685"/>
        <w:jc w:val="left"/>
        <w:rPr>
          <w:rFonts w:ascii="仿宋" w:eastAsia="仿宋" w:hAnsi="仿宋"/>
          <w:color w:val="000000" w:themeColor="text1"/>
          <w:szCs w:val="32"/>
        </w:rPr>
      </w:pPr>
      <w:r>
        <w:rPr>
          <w:rFonts w:ascii="仿宋" w:eastAsia="仿宋" w:hAnsi="仿宋"/>
          <w:color w:val="000000" w:themeColor="text1"/>
          <w:szCs w:val="32"/>
        </w:rPr>
        <w:t>5</w:t>
      </w:r>
      <w:r>
        <w:rPr>
          <w:rFonts w:ascii="仿宋" w:eastAsia="仿宋" w:hAnsi="仿宋" w:hint="eastAsia"/>
          <w:color w:val="000000" w:themeColor="text1"/>
          <w:szCs w:val="32"/>
        </w:rPr>
        <w:t>.切实落实信用承诺和告知承诺制度。在做好内部宣传、学习的基础上，切实落实信用承诺和告知承诺制度，为服务对象提供更为便捷的服务。</w:t>
      </w:r>
    </w:p>
    <w:p w:rsidR="00DC4079" w:rsidRDefault="00647ED0">
      <w:pPr>
        <w:adjustRightInd w:val="0"/>
        <w:snapToGrid w:val="0"/>
        <w:spacing w:line="600" w:lineRule="exact"/>
        <w:ind w:firstLineChars="214" w:firstLine="685"/>
        <w:jc w:val="left"/>
        <w:rPr>
          <w:rFonts w:ascii="仿宋" w:eastAsia="仿宋" w:hAnsi="仿宋"/>
          <w:color w:val="000000" w:themeColor="text1"/>
          <w:szCs w:val="32"/>
        </w:rPr>
      </w:pPr>
      <w:r>
        <w:rPr>
          <w:rFonts w:ascii="仿宋" w:eastAsia="仿宋" w:hAnsi="仿宋"/>
          <w:color w:val="000000" w:themeColor="text1"/>
          <w:szCs w:val="32"/>
        </w:rPr>
        <w:t>6</w:t>
      </w:r>
      <w:r>
        <w:rPr>
          <w:rFonts w:ascii="仿宋" w:eastAsia="仿宋" w:hAnsi="仿宋" w:hint="eastAsia"/>
          <w:color w:val="000000" w:themeColor="text1"/>
          <w:szCs w:val="32"/>
        </w:rPr>
        <w:t>.全力做好“双公示”信息报送工作。克服每个月约7000件行政许可，工作压力巨大的困难，全力做好“双公示”工作，确保信息报送及时、准确。</w:t>
      </w:r>
    </w:p>
    <w:p w:rsidR="00DC4079" w:rsidRDefault="00647ED0">
      <w:pPr>
        <w:adjustRightInd w:val="0"/>
        <w:snapToGrid w:val="0"/>
        <w:spacing w:line="600" w:lineRule="exact"/>
        <w:ind w:firstLineChars="214" w:firstLine="685"/>
        <w:jc w:val="left"/>
        <w:rPr>
          <w:rFonts w:ascii="仿宋" w:eastAsia="仿宋" w:hAnsi="仿宋"/>
          <w:color w:val="000000" w:themeColor="text1"/>
          <w:szCs w:val="32"/>
        </w:rPr>
      </w:pPr>
      <w:r>
        <w:rPr>
          <w:rFonts w:ascii="仿宋" w:eastAsia="仿宋" w:hAnsi="仿宋"/>
          <w:color w:val="000000" w:themeColor="text1"/>
          <w:szCs w:val="32"/>
        </w:rPr>
        <w:t>7</w:t>
      </w:r>
      <w:r>
        <w:rPr>
          <w:rFonts w:ascii="仿宋" w:eastAsia="仿宋" w:hAnsi="仿宋" w:hint="eastAsia"/>
          <w:color w:val="000000" w:themeColor="text1"/>
          <w:szCs w:val="32"/>
        </w:rPr>
        <w:t>.切实开展《大连市社会信用条例》宣传月活动。广泛组织局机关科室、农业中心，街道办事处，农民专业合作社、家庭农场等新型经营主体开展《大连市社会信用条例》宣传月活动。通过分发宣传资料、播放宣传视频、悬挂宣传标语、滚动播放电子屏幕、电子宣传板，以及转发</w:t>
      </w:r>
      <w:proofErr w:type="gramStart"/>
      <w:r>
        <w:rPr>
          <w:rFonts w:ascii="仿宋" w:eastAsia="仿宋" w:hAnsi="仿宋" w:hint="eastAsia"/>
          <w:color w:val="000000" w:themeColor="text1"/>
          <w:szCs w:val="32"/>
        </w:rPr>
        <w:t>微信公众号</w:t>
      </w:r>
      <w:proofErr w:type="gramEnd"/>
      <w:r>
        <w:rPr>
          <w:rFonts w:ascii="仿宋" w:eastAsia="仿宋" w:hAnsi="仿宋" w:hint="eastAsia"/>
          <w:color w:val="000000" w:themeColor="text1"/>
          <w:szCs w:val="32"/>
        </w:rPr>
        <w:t>等形式切实宣传《大连市社会信用条例》，确保条例入脑入心。</w:t>
      </w:r>
    </w:p>
    <w:p w:rsidR="00DC4079" w:rsidRDefault="00647ED0">
      <w:pPr>
        <w:adjustRightInd w:val="0"/>
        <w:snapToGrid w:val="0"/>
        <w:spacing w:line="600" w:lineRule="exact"/>
        <w:ind w:firstLineChars="214" w:firstLine="685"/>
        <w:jc w:val="left"/>
        <w:rPr>
          <w:rFonts w:ascii="仿宋" w:eastAsia="仿宋" w:hAnsi="仿宋"/>
          <w:color w:val="000000" w:themeColor="text1"/>
        </w:rPr>
      </w:pPr>
      <w:r>
        <w:rPr>
          <w:rFonts w:ascii="仿宋" w:eastAsia="仿宋" w:hAnsi="仿宋"/>
          <w:color w:val="000000" w:themeColor="text1"/>
        </w:rPr>
        <w:t>8.</w:t>
      </w:r>
      <w:r>
        <w:rPr>
          <w:rFonts w:ascii="仿宋" w:eastAsia="仿宋" w:hAnsi="仿宋" w:hint="eastAsia"/>
          <w:color w:val="000000" w:themeColor="text1"/>
        </w:rPr>
        <w:t>配合牵头部门完成《公共信用信息目录》和《公共信用信息征集规范》等编制工作。</w:t>
      </w:r>
    </w:p>
    <w:p w:rsidR="00DC4079" w:rsidRDefault="00647ED0">
      <w:pPr>
        <w:adjustRightInd w:val="0"/>
        <w:snapToGrid w:val="0"/>
        <w:spacing w:line="600" w:lineRule="exact"/>
        <w:ind w:firstLineChars="214" w:firstLine="687"/>
        <w:jc w:val="left"/>
        <w:rPr>
          <w:rFonts w:ascii="仿宋" w:eastAsia="仿宋" w:hAnsi="仿宋"/>
          <w:b/>
          <w:color w:val="000000" w:themeColor="text1"/>
          <w:szCs w:val="32"/>
        </w:rPr>
      </w:pPr>
      <w:r>
        <w:rPr>
          <w:rFonts w:ascii="仿宋" w:eastAsia="仿宋" w:hAnsi="仿宋" w:hint="eastAsia"/>
          <w:b/>
          <w:color w:val="000000" w:themeColor="text1"/>
          <w:szCs w:val="32"/>
        </w:rPr>
        <w:t>二、推进法治政府建设存在的不足和原因</w:t>
      </w:r>
    </w:p>
    <w:p w:rsidR="00DC4079" w:rsidRDefault="00647ED0">
      <w:pPr>
        <w:adjustRightInd w:val="0"/>
        <w:snapToGrid w:val="0"/>
        <w:spacing w:line="600" w:lineRule="exact"/>
        <w:ind w:firstLineChars="214" w:firstLine="685"/>
        <w:jc w:val="left"/>
        <w:rPr>
          <w:rFonts w:ascii="仿宋" w:eastAsia="仿宋" w:hAnsi="仿宋"/>
          <w:b/>
          <w:color w:val="000000" w:themeColor="text1"/>
          <w:szCs w:val="32"/>
        </w:rPr>
      </w:pPr>
      <w:r>
        <w:rPr>
          <w:rFonts w:ascii="仿宋" w:eastAsia="仿宋" w:hAnsi="仿宋" w:cs="仿宋_GB2312" w:hint="eastAsia"/>
          <w:color w:val="000000" w:themeColor="text1"/>
          <w:szCs w:val="32"/>
        </w:rPr>
        <w:t>一是法律专业人才储备不足。法律专业人员相对较</w:t>
      </w:r>
      <w:r>
        <w:rPr>
          <w:rFonts w:ascii="仿宋" w:eastAsia="仿宋" w:hAnsi="仿宋" w:cs="仿宋_GB2312" w:hint="eastAsia"/>
          <w:color w:val="000000" w:themeColor="text1"/>
          <w:szCs w:val="32"/>
        </w:rPr>
        <w:lastRenderedPageBreak/>
        <w:t>少，与所承担的行政执法、法制审核、行政应诉等职责任务不相适应问题；二</w:t>
      </w:r>
      <w:r>
        <w:rPr>
          <w:rFonts w:ascii="仿宋" w:eastAsia="仿宋" w:hAnsi="仿宋" w:hint="eastAsia"/>
          <w:bCs/>
          <w:color w:val="000000" w:themeColor="text1"/>
        </w:rPr>
        <w:t>是执法</w:t>
      </w:r>
      <w:r>
        <w:rPr>
          <w:rFonts w:ascii="仿宋" w:eastAsia="仿宋" w:hAnsi="仿宋" w:hint="eastAsia"/>
          <w:color w:val="000000" w:themeColor="text1"/>
        </w:rPr>
        <w:t>人员流动和岗位变换，导致执法</w:t>
      </w:r>
      <w:r>
        <w:rPr>
          <w:rFonts w:ascii="仿宋" w:eastAsia="仿宋" w:hAnsi="仿宋"/>
          <w:color w:val="000000" w:themeColor="text1"/>
        </w:rPr>
        <w:t>水平有待进一步提高</w:t>
      </w:r>
      <w:r>
        <w:rPr>
          <w:rFonts w:ascii="仿宋" w:eastAsia="仿宋" w:hAnsi="仿宋" w:hint="eastAsia"/>
          <w:bCs/>
          <w:color w:val="000000" w:themeColor="text1"/>
        </w:rPr>
        <w:t>问题。</w:t>
      </w:r>
    </w:p>
    <w:p w:rsidR="00DC4079" w:rsidRDefault="00647ED0">
      <w:pPr>
        <w:adjustRightInd w:val="0"/>
        <w:snapToGrid w:val="0"/>
        <w:spacing w:line="600" w:lineRule="exact"/>
        <w:ind w:firstLineChars="214" w:firstLine="687"/>
        <w:jc w:val="left"/>
        <w:rPr>
          <w:rFonts w:ascii="仿宋" w:eastAsia="仿宋" w:hAnsi="仿宋"/>
          <w:b/>
          <w:color w:val="000000" w:themeColor="text1"/>
          <w:szCs w:val="32"/>
        </w:rPr>
      </w:pPr>
      <w:r>
        <w:rPr>
          <w:rFonts w:ascii="仿宋" w:eastAsia="仿宋" w:hAnsi="仿宋" w:hint="eastAsia"/>
          <w:b/>
          <w:color w:val="000000" w:themeColor="text1"/>
          <w:szCs w:val="32"/>
        </w:rPr>
        <w:t>三、党政主要负责人履行推进法治建设第一责任人职责，加强法治政府建设的有关情况</w:t>
      </w:r>
    </w:p>
    <w:p w:rsidR="00DC4079" w:rsidRDefault="00647ED0">
      <w:pPr>
        <w:adjustRightInd w:val="0"/>
        <w:snapToGrid w:val="0"/>
        <w:spacing w:line="600" w:lineRule="exact"/>
        <w:ind w:firstLineChars="214" w:firstLine="685"/>
        <w:jc w:val="left"/>
        <w:rPr>
          <w:rFonts w:ascii="仿宋" w:eastAsia="仿宋" w:hAnsi="仿宋"/>
          <w:bCs/>
          <w:color w:val="000000" w:themeColor="text1"/>
        </w:rPr>
      </w:pPr>
      <w:r>
        <w:rPr>
          <w:rFonts w:ascii="仿宋" w:eastAsia="仿宋" w:hAnsi="仿宋" w:hint="eastAsia"/>
          <w:bCs/>
          <w:color w:val="000000" w:themeColor="text1"/>
        </w:rPr>
        <w:t>落实法治建设第一责任人职责，</w:t>
      </w:r>
      <w:r>
        <w:rPr>
          <w:rFonts w:ascii="仿宋" w:eastAsia="仿宋" w:hAnsi="仿宋"/>
          <w:bCs/>
          <w:color w:val="000000" w:themeColor="text1"/>
        </w:rPr>
        <w:t>局主要领导对法治建设重要工作亲自部署、重大问题亲自过问、重点环节亲自协调、重要任务亲自督办，法治建设第一责任人职责有效压实。</w:t>
      </w:r>
      <w:r>
        <w:rPr>
          <w:rFonts w:ascii="仿宋" w:eastAsia="仿宋" w:hAnsi="仿宋" w:hint="eastAsia"/>
          <w:bCs/>
          <w:color w:val="000000" w:themeColor="text1"/>
        </w:rPr>
        <w:t>严格执行中办、国办《党政主要负责人履行推进法治建设第一责任人职责规定》、省《贯彻</w:t>
      </w:r>
      <w:r>
        <w:rPr>
          <w:rFonts w:ascii="仿宋" w:eastAsia="仿宋" w:hAnsi="仿宋"/>
          <w:bCs/>
          <w:color w:val="000000" w:themeColor="text1"/>
        </w:rPr>
        <w:t>&lt;</w:t>
      </w:r>
      <w:r>
        <w:rPr>
          <w:rFonts w:ascii="仿宋" w:eastAsia="仿宋" w:hAnsi="仿宋" w:hint="eastAsia"/>
          <w:bCs/>
          <w:color w:val="000000" w:themeColor="text1"/>
        </w:rPr>
        <w:t>党政主要负责人履行推进法治建设第一责任人职责规定</w:t>
      </w:r>
      <w:r>
        <w:rPr>
          <w:rFonts w:ascii="仿宋" w:eastAsia="仿宋" w:hAnsi="仿宋"/>
          <w:bCs/>
          <w:color w:val="000000" w:themeColor="text1"/>
        </w:rPr>
        <w:t>&gt;</w:t>
      </w:r>
      <w:r>
        <w:rPr>
          <w:rFonts w:ascii="仿宋" w:eastAsia="仿宋" w:hAnsi="仿宋" w:hint="eastAsia"/>
          <w:bCs/>
          <w:color w:val="000000" w:themeColor="text1"/>
        </w:rPr>
        <w:t>实施细则》以及《辽宁省实施</w:t>
      </w:r>
      <w:r>
        <w:rPr>
          <w:rFonts w:ascii="仿宋" w:eastAsia="仿宋" w:hAnsi="仿宋"/>
          <w:bCs/>
          <w:color w:val="000000" w:themeColor="text1"/>
        </w:rPr>
        <w:t>&lt;</w:t>
      </w:r>
      <w:r>
        <w:rPr>
          <w:rFonts w:ascii="仿宋" w:eastAsia="仿宋" w:hAnsi="仿宋" w:hint="eastAsia"/>
          <w:bCs/>
          <w:color w:val="000000" w:themeColor="text1"/>
        </w:rPr>
        <w:t>法治建设与责任落实督察工作规定</w:t>
      </w:r>
      <w:r>
        <w:rPr>
          <w:rFonts w:ascii="仿宋" w:eastAsia="仿宋" w:hAnsi="仿宋"/>
          <w:bCs/>
          <w:color w:val="000000" w:themeColor="text1"/>
        </w:rPr>
        <w:t>&gt;</w:t>
      </w:r>
      <w:r>
        <w:rPr>
          <w:rFonts w:ascii="仿宋" w:eastAsia="仿宋" w:hAnsi="仿宋" w:hint="eastAsia"/>
          <w:bCs/>
          <w:color w:val="000000" w:themeColor="text1"/>
        </w:rPr>
        <w:t>细则》，定期召开专题会议，研究解决法治政府建设相关问题，对时间紧迫的重要情况，随时召开会议研究解决，并坚持做好请示报告制度，确保将法治建设工作放在重要位置抓紧抓实。</w:t>
      </w:r>
    </w:p>
    <w:p w:rsidR="00DC4079" w:rsidRDefault="00647ED0">
      <w:pPr>
        <w:adjustRightInd w:val="0"/>
        <w:snapToGrid w:val="0"/>
        <w:spacing w:line="600" w:lineRule="exact"/>
        <w:ind w:firstLineChars="214" w:firstLine="687"/>
        <w:jc w:val="left"/>
        <w:rPr>
          <w:rFonts w:ascii="仿宋" w:eastAsia="仿宋" w:hAnsi="仿宋"/>
          <w:b/>
          <w:color w:val="000000" w:themeColor="text1"/>
          <w:szCs w:val="32"/>
        </w:rPr>
      </w:pPr>
      <w:r>
        <w:rPr>
          <w:rFonts w:ascii="仿宋" w:eastAsia="仿宋" w:hAnsi="仿宋" w:hint="eastAsia"/>
          <w:b/>
          <w:color w:val="000000" w:themeColor="text1"/>
          <w:szCs w:val="32"/>
        </w:rPr>
        <w:t>四、下年度推进法治政府建设的主要安排</w:t>
      </w:r>
    </w:p>
    <w:p w:rsidR="00DC4079" w:rsidRDefault="00647ED0">
      <w:pPr>
        <w:pStyle w:val="aa"/>
        <w:widowControl/>
        <w:shd w:val="clear" w:color="auto" w:fill="FFFFFF"/>
        <w:spacing w:beforeAutospacing="0" w:afterAutospacing="0" w:line="555" w:lineRule="atLeast"/>
        <w:ind w:firstLine="640"/>
        <w:rPr>
          <w:rFonts w:ascii="仿宋" w:eastAsia="仿宋" w:hAnsi="仿宋"/>
          <w:bCs/>
          <w:color w:val="000000" w:themeColor="text1"/>
          <w:sz w:val="32"/>
          <w:szCs w:val="32"/>
        </w:rPr>
      </w:pPr>
      <w:r>
        <w:rPr>
          <w:rFonts w:ascii="仿宋" w:eastAsia="仿宋" w:hAnsi="仿宋"/>
          <w:bCs/>
          <w:color w:val="000000" w:themeColor="text1"/>
          <w:sz w:val="32"/>
          <w:szCs w:val="32"/>
        </w:rPr>
        <w:t>一是</w:t>
      </w:r>
      <w:r>
        <w:rPr>
          <w:rFonts w:ascii="仿宋" w:eastAsia="仿宋" w:hAnsi="仿宋" w:hint="eastAsia"/>
          <w:bCs/>
          <w:color w:val="000000" w:themeColor="text1"/>
          <w:sz w:val="32"/>
          <w:szCs w:val="32"/>
        </w:rPr>
        <w:t>不断</w:t>
      </w:r>
      <w:r>
        <w:rPr>
          <w:rFonts w:ascii="仿宋" w:eastAsia="仿宋" w:hAnsi="仿宋"/>
          <w:bCs/>
          <w:color w:val="000000" w:themeColor="text1"/>
          <w:sz w:val="32"/>
          <w:szCs w:val="32"/>
        </w:rPr>
        <w:t>加强</w:t>
      </w:r>
      <w:r>
        <w:rPr>
          <w:rFonts w:ascii="仿宋" w:eastAsia="仿宋" w:hAnsi="仿宋" w:hint="eastAsia"/>
          <w:bCs/>
          <w:color w:val="000000" w:themeColor="text1"/>
          <w:sz w:val="32"/>
          <w:szCs w:val="32"/>
        </w:rPr>
        <w:t>法治学习培训。积极组织法律法规学习培训，增强学习规范性、系统性，提高依法行政水平。二是贯彻落实</w:t>
      </w:r>
      <w:r>
        <w:rPr>
          <w:rStyle w:val="ab"/>
          <w:rFonts w:ascii="仿宋" w:eastAsia="仿宋" w:hAnsi="仿宋" w:cs="仿宋" w:hint="eastAsia"/>
          <w:b w:val="0"/>
          <w:bCs/>
          <w:color w:val="000000"/>
          <w:sz w:val="32"/>
          <w:szCs w:val="32"/>
          <w:shd w:val="clear" w:color="auto" w:fill="FFFFFF"/>
        </w:rPr>
        <w:t>国务院《提升行政执法质量三年行动计划2023—2025年）》和辽宁省《提升行政执法质量三年行动方案》的相关要求，履行</w:t>
      </w:r>
      <w:r>
        <w:rPr>
          <w:rFonts w:ascii="仿宋" w:eastAsia="仿宋" w:hAnsi="仿宋" w:cs="仿宋" w:hint="eastAsia"/>
          <w:bCs/>
          <w:color w:val="000000"/>
          <w:sz w:val="32"/>
          <w:szCs w:val="32"/>
          <w:shd w:val="clear" w:color="auto" w:fill="FFFFFF"/>
        </w:rPr>
        <w:t>执法</w:t>
      </w:r>
      <w:r>
        <w:rPr>
          <w:rFonts w:ascii="仿宋" w:eastAsia="仿宋" w:hAnsi="仿宋" w:cs="仿宋" w:hint="eastAsia"/>
          <w:color w:val="000000"/>
          <w:sz w:val="32"/>
          <w:szCs w:val="32"/>
          <w:shd w:val="clear" w:color="auto" w:fill="FFFFFF"/>
        </w:rPr>
        <w:t>职能，确保行政执法队伍稳定，经费充足。同时要加快对执法人员的培训，达到拉之</w:t>
      </w:r>
      <w:r>
        <w:rPr>
          <w:rFonts w:ascii="仿宋" w:eastAsia="仿宋" w:hAnsi="仿宋" w:cs="仿宋" w:hint="eastAsia"/>
          <w:color w:val="000000"/>
          <w:sz w:val="32"/>
          <w:szCs w:val="32"/>
          <w:shd w:val="clear" w:color="auto" w:fill="FFFFFF"/>
        </w:rPr>
        <w:lastRenderedPageBreak/>
        <w:t>能战、战之能胜。</w:t>
      </w:r>
      <w:r>
        <w:rPr>
          <w:rFonts w:ascii="仿宋" w:eastAsia="仿宋" w:hAnsi="仿宋" w:hint="eastAsia"/>
          <w:bCs/>
          <w:color w:val="000000" w:themeColor="text1"/>
          <w:sz w:val="32"/>
          <w:szCs w:val="32"/>
        </w:rPr>
        <w:t>三是继续深化行政审批制度改革，完善审批服务事项清单化、标准化等管理。四是推进行政决策科学化、民主化、法治化，强化行政规范性文件合法性审核和公平竞争审查等工作。五是加强行政复议和行政诉讼工作，加大行政复议纠错力度，积极履行行政应诉职责，着力化解社会矛盾纠纷。六是持续规范行政权力运行，通过执法资格考试和案卷评查等方法途径，不断优化执法人员结构，提高执法能力水平。七是继续做好普法工作。按照“谁执法、谁普法”的工作责任制，加大普法工作力度，为乡村振兴营造良好法治氛围。</w:t>
      </w:r>
    </w:p>
    <w:p w:rsidR="00DC4079" w:rsidRDefault="00DC4079">
      <w:pPr>
        <w:adjustRightInd w:val="0"/>
        <w:snapToGrid w:val="0"/>
        <w:spacing w:line="600" w:lineRule="exact"/>
        <w:ind w:firstLineChars="1329" w:firstLine="4269"/>
        <w:jc w:val="left"/>
        <w:rPr>
          <w:rFonts w:ascii="仿宋" w:eastAsia="仿宋" w:hAnsi="仿宋"/>
          <w:b/>
          <w:color w:val="000000" w:themeColor="text1"/>
          <w:szCs w:val="32"/>
        </w:rPr>
      </w:pPr>
    </w:p>
    <w:p w:rsidR="00DC4079" w:rsidRDefault="00DC4079">
      <w:pPr>
        <w:adjustRightInd w:val="0"/>
        <w:snapToGrid w:val="0"/>
        <w:spacing w:line="600" w:lineRule="exact"/>
        <w:ind w:firstLineChars="1329" w:firstLine="4269"/>
        <w:jc w:val="left"/>
        <w:rPr>
          <w:rFonts w:ascii="仿宋" w:eastAsia="仿宋" w:hAnsi="仿宋"/>
          <w:b/>
          <w:color w:val="000000" w:themeColor="text1"/>
          <w:szCs w:val="32"/>
        </w:rPr>
      </w:pPr>
    </w:p>
    <w:p w:rsidR="00DC4079" w:rsidRDefault="00DC4079">
      <w:pPr>
        <w:adjustRightInd w:val="0"/>
        <w:snapToGrid w:val="0"/>
        <w:spacing w:line="600" w:lineRule="exact"/>
        <w:ind w:firstLineChars="1329" w:firstLine="4269"/>
        <w:jc w:val="left"/>
        <w:rPr>
          <w:rFonts w:ascii="仿宋" w:eastAsia="仿宋" w:hAnsi="仿宋"/>
          <w:b/>
          <w:color w:val="000000" w:themeColor="text1"/>
          <w:szCs w:val="32"/>
        </w:rPr>
      </w:pPr>
    </w:p>
    <w:p w:rsidR="00DC4079" w:rsidRDefault="00DC4079">
      <w:pPr>
        <w:adjustRightInd w:val="0"/>
        <w:snapToGrid w:val="0"/>
        <w:spacing w:line="600" w:lineRule="exact"/>
        <w:ind w:firstLineChars="1329" w:firstLine="4269"/>
        <w:jc w:val="left"/>
        <w:rPr>
          <w:rFonts w:ascii="仿宋" w:eastAsia="仿宋" w:hAnsi="仿宋"/>
          <w:b/>
          <w:color w:val="000000" w:themeColor="text1"/>
          <w:szCs w:val="32"/>
        </w:rPr>
      </w:pPr>
    </w:p>
    <w:p w:rsidR="00DC4079" w:rsidRDefault="00647ED0">
      <w:pPr>
        <w:adjustRightInd w:val="0"/>
        <w:snapToGrid w:val="0"/>
        <w:spacing w:line="600" w:lineRule="exact"/>
        <w:ind w:firstLineChars="1329" w:firstLine="4253"/>
        <w:jc w:val="left"/>
        <w:rPr>
          <w:rFonts w:ascii="仿宋" w:eastAsia="仿宋" w:hAnsi="仿宋"/>
          <w:color w:val="000000" w:themeColor="text1"/>
          <w:szCs w:val="32"/>
        </w:rPr>
      </w:pPr>
      <w:r>
        <w:rPr>
          <w:rFonts w:ascii="仿宋" w:eastAsia="仿宋" w:hAnsi="仿宋" w:hint="eastAsia"/>
          <w:color w:val="000000" w:themeColor="text1"/>
          <w:szCs w:val="32"/>
        </w:rPr>
        <w:t>大连金普新区农业农村局</w:t>
      </w:r>
    </w:p>
    <w:p w:rsidR="00DC4079" w:rsidRDefault="00647ED0">
      <w:pPr>
        <w:adjustRightInd w:val="0"/>
        <w:snapToGrid w:val="0"/>
        <w:spacing w:line="600" w:lineRule="exact"/>
        <w:ind w:firstLineChars="1594" w:firstLine="5101"/>
        <w:jc w:val="left"/>
        <w:rPr>
          <w:rFonts w:ascii="仿宋" w:eastAsia="仿宋" w:hAnsi="仿宋"/>
          <w:color w:val="000000" w:themeColor="text1"/>
          <w:szCs w:val="32"/>
        </w:rPr>
      </w:pPr>
      <w:r>
        <w:rPr>
          <w:rFonts w:ascii="仿宋" w:eastAsia="仿宋" w:hAnsi="仿宋" w:hint="eastAsia"/>
          <w:color w:val="000000" w:themeColor="text1"/>
          <w:szCs w:val="32"/>
        </w:rPr>
        <w:t>2</w:t>
      </w:r>
      <w:r>
        <w:rPr>
          <w:rFonts w:ascii="仿宋" w:eastAsia="仿宋" w:hAnsi="仿宋"/>
          <w:color w:val="000000" w:themeColor="text1"/>
          <w:szCs w:val="32"/>
        </w:rPr>
        <w:t>02</w:t>
      </w:r>
      <w:r>
        <w:rPr>
          <w:rFonts w:ascii="仿宋" w:eastAsia="仿宋" w:hAnsi="仿宋" w:hint="eastAsia"/>
          <w:color w:val="000000" w:themeColor="text1"/>
          <w:szCs w:val="32"/>
        </w:rPr>
        <w:t>4年1月3日</w:t>
      </w:r>
    </w:p>
    <w:sectPr w:rsidR="00DC4079">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3677" w:rsidRDefault="008C3677">
      <w:pPr>
        <w:ind w:firstLine="640"/>
      </w:pPr>
      <w:r>
        <w:separator/>
      </w:r>
    </w:p>
  </w:endnote>
  <w:endnote w:type="continuationSeparator" w:id="0">
    <w:p w:rsidR="008C3677" w:rsidRDefault="008C3677">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4079" w:rsidRDefault="00DC4079">
    <w:pPr>
      <w:pStyle w:val="a6"/>
      <w:ind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7539620"/>
    </w:sdtPr>
    <w:sdtEndPr/>
    <w:sdtContent>
      <w:p w:rsidR="00DC4079" w:rsidRDefault="00647ED0">
        <w:pPr>
          <w:pStyle w:val="a6"/>
          <w:ind w:firstLine="360"/>
          <w:jc w:val="center"/>
        </w:pPr>
        <w:r>
          <w:fldChar w:fldCharType="begin"/>
        </w:r>
        <w:r>
          <w:instrText>PAGE   \* MERGEFORMAT</w:instrText>
        </w:r>
        <w:r>
          <w:fldChar w:fldCharType="separate"/>
        </w:r>
        <w:r w:rsidR="00A2051C" w:rsidRPr="00A2051C">
          <w:rPr>
            <w:noProof/>
            <w:lang w:val="zh-CN"/>
          </w:rPr>
          <w:t>9</w:t>
        </w:r>
        <w:r>
          <w:fldChar w:fldCharType="end"/>
        </w:r>
      </w:p>
    </w:sdtContent>
  </w:sdt>
  <w:p w:rsidR="00DC4079" w:rsidRDefault="00DC4079">
    <w:pPr>
      <w:pStyle w:val="a6"/>
      <w:ind w:firstLine="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4079" w:rsidRDefault="00DC4079">
    <w:pPr>
      <w:pStyle w:val="a6"/>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3677" w:rsidRDefault="008C3677">
      <w:pPr>
        <w:ind w:firstLine="640"/>
      </w:pPr>
      <w:r>
        <w:separator/>
      </w:r>
    </w:p>
  </w:footnote>
  <w:footnote w:type="continuationSeparator" w:id="0">
    <w:p w:rsidR="008C3677" w:rsidRDefault="008C3677">
      <w:pPr>
        <w:ind w:firstLine="64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4079" w:rsidRDefault="00DC4079">
    <w:pPr>
      <w:pStyle w:val="a8"/>
      <w:ind w:firstLine="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4079" w:rsidRDefault="00DC4079">
    <w:pPr>
      <w:pStyle w:val="a8"/>
      <w:ind w:firstLine="36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4079" w:rsidRDefault="00DC4079">
    <w:pPr>
      <w:pStyle w:val="a8"/>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FlNGExZjhiODU1NTQ0NTU3M2QzZjUxYjk0OWY2ZjIifQ=="/>
  </w:docVars>
  <w:rsids>
    <w:rsidRoot w:val="003A36CB"/>
    <w:rsid w:val="000030C9"/>
    <w:rsid w:val="00017350"/>
    <w:rsid w:val="00024ECC"/>
    <w:rsid w:val="000352DA"/>
    <w:rsid w:val="00045A4B"/>
    <w:rsid w:val="00046FBE"/>
    <w:rsid w:val="00060FB0"/>
    <w:rsid w:val="000714DB"/>
    <w:rsid w:val="00085060"/>
    <w:rsid w:val="000A562A"/>
    <w:rsid w:val="000C3849"/>
    <w:rsid w:val="00100A4B"/>
    <w:rsid w:val="00112F9A"/>
    <w:rsid w:val="00130039"/>
    <w:rsid w:val="00140616"/>
    <w:rsid w:val="001569E5"/>
    <w:rsid w:val="001660B1"/>
    <w:rsid w:val="001727C7"/>
    <w:rsid w:val="001A6B9B"/>
    <w:rsid w:val="001B254B"/>
    <w:rsid w:val="001D6BAF"/>
    <w:rsid w:val="001E2C76"/>
    <w:rsid w:val="001E518E"/>
    <w:rsid w:val="0021190B"/>
    <w:rsid w:val="00221965"/>
    <w:rsid w:val="00281348"/>
    <w:rsid w:val="002A2ECF"/>
    <w:rsid w:val="002D216A"/>
    <w:rsid w:val="002E4729"/>
    <w:rsid w:val="002E4FE4"/>
    <w:rsid w:val="002E7B3B"/>
    <w:rsid w:val="0030233C"/>
    <w:rsid w:val="003051D9"/>
    <w:rsid w:val="003102AA"/>
    <w:rsid w:val="0032215E"/>
    <w:rsid w:val="00327337"/>
    <w:rsid w:val="003337A0"/>
    <w:rsid w:val="00334259"/>
    <w:rsid w:val="0038003B"/>
    <w:rsid w:val="003807B1"/>
    <w:rsid w:val="003A36CB"/>
    <w:rsid w:val="003B7728"/>
    <w:rsid w:val="003C58CA"/>
    <w:rsid w:val="003F3673"/>
    <w:rsid w:val="003F7A74"/>
    <w:rsid w:val="0041766C"/>
    <w:rsid w:val="004203A1"/>
    <w:rsid w:val="004365FF"/>
    <w:rsid w:val="00443164"/>
    <w:rsid w:val="004558A3"/>
    <w:rsid w:val="00463F28"/>
    <w:rsid w:val="0046443D"/>
    <w:rsid w:val="0049049E"/>
    <w:rsid w:val="004A2B34"/>
    <w:rsid w:val="004B3973"/>
    <w:rsid w:val="004B57F4"/>
    <w:rsid w:val="004E2955"/>
    <w:rsid w:val="004E3FCF"/>
    <w:rsid w:val="005158CD"/>
    <w:rsid w:val="00543540"/>
    <w:rsid w:val="005652CD"/>
    <w:rsid w:val="00567B61"/>
    <w:rsid w:val="005736CF"/>
    <w:rsid w:val="005867A8"/>
    <w:rsid w:val="005A3605"/>
    <w:rsid w:val="005A4DF9"/>
    <w:rsid w:val="005C25C6"/>
    <w:rsid w:val="005F4C4C"/>
    <w:rsid w:val="006065A1"/>
    <w:rsid w:val="0061208D"/>
    <w:rsid w:val="00615B13"/>
    <w:rsid w:val="00625E29"/>
    <w:rsid w:val="00631DA6"/>
    <w:rsid w:val="00647ED0"/>
    <w:rsid w:val="0065772A"/>
    <w:rsid w:val="00683681"/>
    <w:rsid w:val="006B319C"/>
    <w:rsid w:val="006C6663"/>
    <w:rsid w:val="006E4064"/>
    <w:rsid w:val="006F53E0"/>
    <w:rsid w:val="007429F7"/>
    <w:rsid w:val="00745226"/>
    <w:rsid w:val="00745887"/>
    <w:rsid w:val="00767F00"/>
    <w:rsid w:val="00774CB0"/>
    <w:rsid w:val="007972B7"/>
    <w:rsid w:val="007A6A9F"/>
    <w:rsid w:val="007B55AB"/>
    <w:rsid w:val="007F3D7A"/>
    <w:rsid w:val="007F682A"/>
    <w:rsid w:val="00844CD8"/>
    <w:rsid w:val="008612B5"/>
    <w:rsid w:val="00884CAF"/>
    <w:rsid w:val="00884D20"/>
    <w:rsid w:val="008864EB"/>
    <w:rsid w:val="008C3677"/>
    <w:rsid w:val="009001FD"/>
    <w:rsid w:val="009272DC"/>
    <w:rsid w:val="009578A7"/>
    <w:rsid w:val="009678BF"/>
    <w:rsid w:val="009C644C"/>
    <w:rsid w:val="00A154E5"/>
    <w:rsid w:val="00A2051C"/>
    <w:rsid w:val="00A22898"/>
    <w:rsid w:val="00A57D2B"/>
    <w:rsid w:val="00A64A57"/>
    <w:rsid w:val="00A66194"/>
    <w:rsid w:val="00A75100"/>
    <w:rsid w:val="00A87AA0"/>
    <w:rsid w:val="00AB5971"/>
    <w:rsid w:val="00AF00E3"/>
    <w:rsid w:val="00B30D58"/>
    <w:rsid w:val="00B9212D"/>
    <w:rsid w:val="00B9325A"/>
    <w:rsid w:val="00BB292E"/>
    <w:rsid w:val="00BD35AD"/>
    <w:rsid w:val="00BD4514"/>
    <w:rsid w:val="00BF2745"/>
    <w:rsid w:val="00C16246"/>
    <w:rsid w:val="00C5187B"/>
    <w:rsid w:val="00C72CAF"/>
    <w:rsid w:val="00C7411E"/>
    <w:rsid w:val="00CA6DA5"/>
    <w:rsid w:val="00CE3908"/>
    <w:rsid w:val="00CE7B60"/>
    <w:rsid w:val="00D113AC"/>
    <w:rsid w:val="00D36382"/>
    <w:rsid w:val="00D728F1"/>
    <w:rsid w:val="00D87E7A"/>
    <w:rsid w:val="00D92EFE"/>
    <w:rsid w:val="00D93A6B"/>
    <w:rsid w:val="00DB15BE"/>
    <w:rsid w:val="00DC30FB"/>
    <w:rsid w:val="00DC4079"/>
    <w:rsid w:val="00E4551F"/>
    <w:rsid w:val="00E5041E"/>
    <w:rsid w:val="00E607C2"/>
    <w:rsid w:val="00E622BF"/>
    <w:rsid w:val="00E663AB"/>
    <w:rsid w:val="00E73085"/>
    <w:rsid w:val="00E75856"/>
    <w:rsid w:val="00EA2D44"/>
    <w:rsid w:val="00EC1045"/>
    <w:rsid w:val="00EC2AFE"/>
    <w:rsid w:val="00EC739F"/>
    <w:rsid w:val="00F005D7"/>
    <w:rsid w:val="00F06BCF"/>
    <w:rsid w:val="00F17FCA"/>
    <w:rsid w:val="00F4203F"/>
    <w:rsid w:val="00F54604"/>
    <w:rsid w:val="00F64CC4"/>
    <w:rsid w:val="00F83712"/>
    <w:rsid w:val="00F93C66"/>
    <w:rsid w:val="00F94DF7"/>
    <w:rsid w:val="00FA3B28"/>
    <w:rsid w:val="00FA5397"/>
    <w:rsid w:val="00FC6C13"/>
    <w:rsid w:val="00FC7748"/>
    <w:rsid w:val="00FE3B78"/>
    <w:rsid w:val="00FE5463"/>
    <w:rsid w:val="00FF531E"/>
    <w:rsid w:val="11DF1478"/>
    <w:rsid w:val="674A0F92"/>
    <w:rsid w:val="6FA65AE9"/>
    <w:rsid w:val="70BD1E7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494FF1"/>
  <w15:docId w15:val="{C5F9F0FA-4A62-48DA-977A-D51E2F040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uiPriority="0" w:qFormat="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overflowPunct w:val="0"/>
      <w:autoSpaceDE w:val="0"/>
      <w:autoSpaceDN w:val="0"/>
      <w:ind w:firstLineChars="200" w:firstLine="200"/>
      <w:jc w:val="both"/>
    </w:pPr>
    <w:rPr>
      <w:rFonts w:ascii="Times New Roman" w:eastAsia="仿宋_GB2312" w:hAnsi="Times New Roman" w:cs="Times New Roman"/>
      <w:kern w:val="2"/>
      <w:sz w:val="32"/>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rPr>
      <w:rFonts w:hint="eastAsia"/>
    </w:rPr>
  </w:style>
  <w:style w:type="paragraph" w:styleId="a4">
    <w:name w:val="Date"/>
    <w:basedOn w:val="a"/>
    <w:next w:val="a"/>
    <w:link w:val="a5"/>
    <w:autoRedefine/>
    <w:uiPriority w:val="99"/>
    <w:semiHidden/>
    <w:unhideWhenUsed/>
    <w:pPr>
      <w:ind w:leftChars="2500" w:left="100"/>
    </w:pPr>
  </w:style>
  <w:style w:type="paragraph" w:styleId="a6">
    <w:name w:val="footer"/>
    <w:basedOn w:val="a"/>
    <w:link w:val="a7"/>
    <w:autoRedefine/>
    <w:uiPriority w:val="99"/>
    <w:unhideWhenUsed/>
    <w:pPr>
      <w:tabs>
        <w:tab w:val="center" w:pos="4153"/>
        <w:tab w:val="right" w:pos="8306"/>
      </w:tabs>
      <w:snapToGrid w:val="0"/>
      <w:jc w:val="left"/>
    </w:pPr>
    <w:rPr>
      <w:sz w:val="18"/>
      <w:szCs w:val="18"/>
    </w:rPr>
  </w:style>
  <w:style w:type="paragraph" w:styleId="a8">
    <w:name w:val="header"/>
    <w:basedOn w:val="a"/>
    <w:link w:val="a9"/>
    <w:autoRedefine/>
    <w:uiPriority w:val="99"/>
    <w:unhideWhenUsed/>
    <w:pPr>
      <w:pBdr>
        <w:bottom w:val="single" w:sz="6" w:space="1" w:color="auto"/>
      </w:pBdr>
      <w:tabs>
        <w:tab w:val="center" w:pos="4153"/>
        <w:tab w:val="right" w:pos="8306"/>
      </w:tabs>
      <w:snapToGrid w:val="0"/>
      <w:jc w:val="center"/>
    </w:pPr>
    <w:rPr>
      <w:sz w:val="18"/>
      <w:szCs w:val="18"/>
    </w:rPr>
  </w:style>
  <w:style w:type="paragraph" w:styleId="aa">
    <w:name w:val="Normal (Web)"/>
    <w:basedOn w:val="a"/>
    <w:autoRedefine/>
    <w:qFormat/>
    <w:pPr>
      <w:spacing w:beforeAutospacing="1" w:afterAutospacing="1"/>
      <w:jc w:val="left"/>
    </w:pPr>
    <w:rPr>
      <w:kern w:val="0"/>
      <w:sz w:val="24"/>
    </w:rPr>
  </w:style>
  <w:style w:type="character" w:styleId="ab">
    <w:name w:val="Strong"/>
    <w:basedOn w:val="a1"/>
    <w:qFormat/>
    <w:rPr>
      <w:b/>
    </w:rPr>
  </w:style>
  <w:style w:type="character" w:customStyle="1" w:styleId="NormalCharacter">
    <w:name w:val="NormalCharacter"/>
    <w:autoRedefine/>
    <w:qFormat/>
    <w:rPr>
      <w:rFonts w:ascii="Calibri" w:eastAsia="仿宋_GB2312" w:hAnsi="Calibri" w:cs="Times New Roman"/>
      <w:kern w:val="2"/>
      <w:sz w:val="32"/>
      <w:szCs w:val="32"/>
      <w:lang w:val="en-US" w:eastAsia="zh-CN" w:bidi="ar-SA"/>
    </w:rPr>
  </w:style>
  <w:style w:type="paragraph" w:styleId="ac">
    <w:name w:val="List Paragraph"/>
    <w:basedOn w:val="a"/>
    <w:autoRedefine/>
    <w:uiPriority w:val="34"/>
    <w:qFormat/>
    <w:pPr>
      <w:ind w:firstLine="420"/>
    </w:pPr>
  </w:style>
  <w:style w:type="character" w:customStyle="1" w:styleId="a9">
    <w:name w:val="页眉 字符"/>
    <w:basedOn w:val="a1"/>
    <w:link w:val="a8"/>
    <w:autoRedefine/>
    <w:uiPriority w:val="99"/>
    <w:qFormat/>
    <w:rPr>
      <w:rFonts w:ascii="Times New Roman" w:eastAsia="仿宋_GB2312" w:hAnsi="Times New Roman" w:cs="Times New Roman"/>
      <w:sz w:val="18"/>
      <w:szCs w:val="18"/>
    </w:rPr>
  </w:style>
  <w:style w:type="character" w:customStyle="1" w:styleId="a7">
    <w:name w:val="页脚 字符"/>
    <w:basedOn w:val="a1"/>
    <w:link w:val="a6"/>
    <w:uiPriority w:val="99"/>
    <w:qFormat/>
    <w:rPr>
      <w:rFonts w:ascii="Times New Roman" w:eastAsia="仿宋_GB2312" w:hAnsi="Times New Roman" w:cs="Times New Roman"/>
      <w:sz w:val="18"/>
      <w:szCs w:val="18"/>
    </w:rPr>
  </w:style>
  <w:style w:type="character" w:customStyle="1" w:styleId="a5">
    <w:name w:val="日期 字符"/>
    <w:basedOn w:val="a1"/>
    <w:link w:val="a4"/>
    <w:uiPriority w:val="99"/>
    <w:semiHidden/>
    <w:qFormat/>
    <w:rPr>
      <w:rFonts w:ascii="Times New Roman" w:eastAsia="仿宋_GB2312" w:hAnsi="Times New Roman" w:cs="Times New Roman"/>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670</Words>
  <Characters>3823</Characters>
  <Application>Microsoft Office Word</Application>
  <DocSecurity>0</DocSecurity>
  <Lines>31</Lines>
  <Paragraphs>8</Paragraphs>
  <ScaleCrop>false</ScaleCrop>
  <Company>China</Company>
  <LinksUpToDate>false</LinksUpToDate>
  <CharactersWithSpaces>4485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柏子旭</cp:lastModifiedBy>
  <cp:revision>25</cp:revision>
  <dcterms:created xsi:type="dcterms:W3CDTF">2023-01-09T03:40:00Z</dcterms:created>
  <dcterms:modified xsi:type="dcterms:W3CDTF">2024-04-01T01:34:00Z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BC636937D62949A79D725C500D0EA39B_12</vt:lpwstr>
  </property>
</Properties>
</file>