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adjustRightInd w:val="0"/>
        <w:spacing w:line="400" w:lineRule="exact"/>
        <w:rPr>
          <w:rFonts w:hint="eastAsia" w:ascii="黑体" w:hAnsi="黑体" w:eastAsia="黑体"/>
        </w:rPr>
      </w:pPr>
    </w:p>
    <w:p>
      <w:pPr>
        <w:overflowPunct w:val="0"/>
        <w:autoSpaceDE w:val="0"/>
        <w:autoSpaceDN w:val="0"/>
        <w:adjustRightInd w:val="0"/>
        <w:snapToGrid w:val="0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政策解读材料（示例）</w:t>
      </w:r>
    </w:p>
    <w:bookmarkEnd w:id="0"/>
    <w:p>
      <w:pPr>
        <w:jc w:val="center"/>
        <w:rPr>
          <w:rFonts w:hint="eastAsia" w:ascii="仿宋_GB2312" w:hAnsi="仿宋_GB2312" w:cs="仿宋_GB2312"/>
        </w:rPr>
      </w:pPr>
    </w:p>
    <w:p>
      <w:pPr>
        <w:adjustRightInd w:val="0"/>
        <w:ind w:firstLine="624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一、背景依据</w:t>
      </w:r>
    </w:p>
    <w:p>
      <w:pPr>
        <w:adjustRightInd w:val="0"/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二、目标任务</w:t>
      </w:r>
    </w:p>
    <w:p>
      <w:pPr>
        <w:adjustRightInd w:val="0"/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三、工作进展</w:t>
      </w:r>
    </w:p>
    <w:p>
      <w:pPr>
        <w:adjustRightInd w:val="0"/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四、范围期限</w:t>
      </w:r>
    </w:p>
    <w:p>
      <w:pPr>
        <w:adjustRightInd w:val="0"/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五、主要内容</w:t>
      </w:r>
    </w:p>
    <w:p>
      <w:pPr>
        <w:adjustRightInd w:val="0"/>
        <w:ind w:firstLine="624" w:firstLineChars="200"/>
        <w:rPr>
          <w:rFonts w:hint="eastAsia" w:hAnsi="仿宋_GB2312"/>
        </w:rPr>
      </w:pPr>
      <w:r>
        <w:rPr>
          <w:rFonts w:hint="eastAsia" w:hAnsi="仿宋_GB2312"/>
        </w:rPr>
        <w:t>（一）涉及具体办理事项的，应提供办事指南，列明受理单位、地址和联系方式，办事条件、资料、程序、时限以及其他注意事项等。</w:t>
      </w:r>
    </w:p>
    <w:p>
      <w:pPr>
        <w:adjustRightInd w:val="0"/>
        <w:ind w:firstLine="624" w:firstLineChars="200"/>
        <w:rPr>
          <w:rFonts w:hint="eastAsia" w:hAnsi="仿宋_GB2312"/>
        </w:rPr>
      </w:pPr>
      <w:r>
        <w:rPr>
          <w:rFonts w:hint="eastAsia" w:hAnsi="仿宋_GB2312"/>
        </w:rPr>
        <w:t>（二）涉及执法事项的，应说明执行范围、执行程序、执行标准等。</w:t>
      </w:r>
    </w:p>
    <w:p>
      <w:pPr>
        <w:adjustRightInd w:val="0"/>
        <w:ind w:firstLine="624" w:firstLineChars="200"/>
        <w:rPr>
          <w:rFonts w:hAnsi="仿宋_GB2312"/>
        </w:rPr>
      </w:pPr>
      <w:r>
        <w:rPr>
          <w:rFonts w:hint="eastAsia" w:hAnsi="仿宋_GB2312"/>
        </w:rPr>
        <w:t>（三）涉及惠企政策的，应当列明惠企政策事项名称、适用对象、适用条件、申报材料、申报渠道、办理流程、在线办理链接、现场办理地址、办理时限、咨询电话等。</w:t>
      </w:r>
    </w:p>
    <w:p>
      <w:pPr>
        <w:adjustRightInd w:val="0"/>
        <w:ind w:firstLine="624" w:firstLineChars="200"/>
        <w:rPr>
          <w:rFonts w:hAnsi="仿宋_GB2312"/>
        </w:rPr>
      </w:pPr>
      <w:r>
        <w:rPr>
          <w:rFonts w:hint="eastAsia" w:hAnsi="仿宋_GB2312"/>
        </w:rPr>
        <w:t>（四）属对原有政策进行修订的，应说明修订的理由、新旧政策的衔接和差异。</w:t>
      </w:r>
    </w:p>
    <w:p>
      <w:pPr>
        <w:adjustRightInd w:val="0"/>
        <w:ind w:firstLine="624" w:firstLineChars="200"/>
        <w:rPr>
          <w:rFonts w:hAnsi="仿宋_GB2312"/>
        </w:rPr>
      </w:pPr>
      <w:r>
        <w:rPr>
          <w:rFonts w:hint="eastAsia" w:hAnsi="仿宋_GB2312"/>
        </w:rPr>
        <w:t>（五）属贯彻执行上级政策的，应说明政策措施的特点和创新点。</w:t>
      </w:r>
    </w:p>
    <w:p>
      <w:pPr>
        <w:adjustRightInd w:val="0"/>
        <w:ind w:firstLine="624" w:firstLineChars="200"/>
        <w:rPr>
          <w:rFonts w:hAnsi="仿宋_GB2312"/>
        </w:rPr>
      </w:pPr>
      <w:r>
        <w:rPr>
          <w:rFonts w:hint="eastAsia" w:hAnsi="仿宋_GB2312"/>
        </w:rPr>
        <w:t>（六）起草部门在做好政策性文件全文解读的基础上，应当注重对核心条款进行要点式解读，对企业群众普遍关注的政策条款进行要点拆分、深度解读和综合指引。</w:t>
      </w:r>
    </w:p>
    <w:p>
      <w:pPr>
        <w:adjustRightInd w:val="0"/>
        <w:ind w:firstLine="624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六、注意事项</w:t>
      </w:r>
    </w:p>
    <w:p>
      <w:pPr>
        <w:adjustRightInd w:val="0"/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七、关键词、专业术语诠释</w:t>
      </w:r>
    </w:p>
    <w:p>
      <w:pPr>
        <w:adjustRightInd w:val="0"/>
        <w:ind w:firstLine="62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八、解读单位、解读人及解读人办公电话</w:t>
      </w:r>
    </w:p>
    <w:p>
      <w:pPr>
        <w:adjustRightInd w:val="0"/>
        <w:ind w:firstLine="624" w:firstLineChars="200"/>
        <w:rPr>
          <w:rFonts w:hAnsi="仿宋_GB2312"/>
        </w:rPr>
      </w:pPr>
    </w:p>
    <w:p>
      <w:pPr>
        <w:adjustRightInd w:val="0"/>
        <w:ind w:firstLine="624" w:firstLineChars="200"/>
        <w:rPr>
          <w:rFonts w:hAnsi="仿宋_GB2312"/>
          <w:b/>
        </w:rPr>
      </w:pPr>
      <w:r>
        <w:rPr>
          <w:rFonts w:hint="eastAsia" w:hAnsi="仿宋_GB2312"/>
          <w:b/>
        </w:rPr>
        <w:t>注：上述内容供参考，不同政策文件侧重可有所不同。</w:t>
      </w:r>
    </w:p>
    <w:p>
      <w:pPr>
        <w:autoSpaceDE w:val="0"/>
        <w:autoSpaceDN w:val="0"/>
        <w:spacing w:line="20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0" w:footer="1588" w:gutter="0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9248E"/>
    <w:rsid w:val="1859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2023-10-11T02:34:00Z</dcterms:created>
  <dc:creator>虫子和鱼</dc:creator>
  <cp:lastModifiedBy>虫子和鱼</cp:lastModifiedBy>
  <dcterms:modified xsi:type="dcterms:W3CDTF">2023-10-11T02:34:26Z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81A842861A7B4D59AC195E927A2AF61B</vt:lpwstr>
  </property>
</Properties>
</file>