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金普新区201</w:t>
      </w:r>
      <w:r>
        <w:rPr>
          <w:rFonts w:hint="eastAsia"/>
          <w:b/>
          <w:bCs/>
          <w:sz w:val="36"/>
          <w:szCs w:val="36"/>
          <w:lang w:val="en-US" w:eastAsia="zh-CN"/>
        </w:rPr>
        <w:t>9</w:t>
      </w:r>
      <w:r>
        <w:rPr>
          <w:rFonts w:hint="eastAsia"/>
          <w:b/>
          <w:bCs/>
          <w:sz w:val="36"/>
          <w:szCs w:val="36"/>
        </w:rPr>
        <w:t>年度高层次人才认定名单</w:t>
      </w:r>
    </w:p>
    <w:tbl>
      <w:tblPr>
        <w:tblStyle w:val="4"/>
        <w:tblW w:w="13962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36"/>
        <w:gridCol w:w="934"/>
        <w:gridCol w:w="1522"/>
        <w:gridCol w:w="1271"/>
        <w:gridCol w:w="1559"/>
        <w:gridCol w:w="1891"/>
        <w:gridCol w:w="6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9" w:hRule="atLeast"/>
        </w:trPr>
        <w:tc>
          <w:tcPr>
            <w:tcW w:w="536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 w:hAnsi="宋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93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 w:hAnsi="宋体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 w:hAnsi="宋体"/>
                <w:b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1271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 w:hAnsi="宋体"/>
                <w:b/>
                <w:kern w:val="0"/>
                <w:sz w:val="28"/>
                <w:szCs w:val="28"/>
              </w:rPr>
              <w:t>认定层次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认定标准</w:t>
            </w:r>
          </w:p>
        </w:tc>
        <w:tc>
          <w:tcPr>
            <w:tcW w:w="1891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认定依据</w:t>
            </w:r>
          </w:p>
        </w:tc>
        <w:tc>
          <w:tcPr>
            <w:tcW w:w="624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68" w:hRule="atLeast"/>
        </w:trPr>
        <w:tc>
          <w:tcPr>
            <w:tcW w:w="53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1</w:t>
            </w:r>
          </w:p>
        </w:tc>
        <w:tc>
          <w:tcPr>
            <w:tcW w:w="93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赵建新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大连百傲化学股份有限公司</w:t>
            </w:r>
          </w:p>
        </w:tc>
        <w:tc>
          <w:tcPr>
            <w:tcW w:w="127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博士后人才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博士后科研工作站出站后在新区就业</w:t>
            </w:r>
          </w:p>
        </w:tc>
        <w:tc>
          <w:tcPr>
            <w:tcW w:w="189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博士后证书</w:t>
            </w:r>
          </w:p>
        </w:tc>
        <w:tc>
          <w:tcPr>
            <w:tcW w:w="6249" w:type="dxa"/>
            <w:vAlign w:val="center"/>
          </w:tcPr>
          <w:p>
            <w:pPr>
              <w:snapToGrid w:val="0"/>
              <w:spacing w:line="288" w:lineRule="auto"/>
              <w:ind w:firstLine="480" w:firstLineChars="2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男，19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79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</w:rPr>
              <w:t>月出生，201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4"/>
              </w:rPr>
              <w:t>月自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天津久日新材料股份有限公司引进至大连百傲化学股份有限公司</w:t>
            </w:r>
            <w:r>
              <w:rPr>
                <w:rFonts w:hint="eastAsia" w:ascii="仿宋" w:hAnsi="仿宋" w:eastAsia="仿宋" w:cs="仿宋"/>
                <w:sz w:val="24"/>
              </w:rPr>
              <w:t>，签订书面劳动合同，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合同</w:t>
            </w:r>
            <w:r>
              <w:rPr>
                <w:rFonts w:hint="eastAsia" w:ascii="仿宋" w:hAnsi="仿宋" w:eastAsia="仿宋" w:cs="仿宋"/>
                <w:sz w:val="24"/>
              </w:rPr>
              <w:t>期限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五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在新区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缴纳个税</w:t>
            </w:r>
            <w:r>
              <w:rPr>
                <w:rFonts w:hint="eastAsia" w:ascii="仿宋" w:hAnsi="仿宋" w:eastAsia="仿宋" w:cs="仿宋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34" w:hRule="atLeast"/>
        </w:trPr>
        <w:tc>
          <w:tcPr>
            <w:tcW w:w="53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2</w:t>
            </w:r>
          </w:p>
        </w:tc>
        <w:tc>
          <w:tcPr>
            <w:tcW w:w="93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强新新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大连百傲化学股份有限公司</w:t>
            </w:r>
          </w:p>
        </w:tc>
        <w:tc>
          <w:tcPr>
            <w:tcW w:w="127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博士后人才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博士后科研工作站出站后在新区就业</w:t>
            </w:r>
          </w:p>
        </w:tc>
        <w:tc>
          <w:tcPr>
            <w:tcW w:w="189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博士后证书</w:t>
            </w:r>
          </w:p>
        </w:tc>
        <w:tc>
          <w:tcPr>
            <w:tcW w:w="6249" w:type="dxa"/>
            <w:vAlign w:val="center"/>
          </w:tcPr>
          <w:p>
            <w:pPr>
              <w:snapToGrid w:val="0"/>
              <w:spacing w:line="288" w:lineRule="auto"/>
              <w:ind w:firstLine="480" w:firstLineChars="2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男</w:t>
            </w:r>
            <w:r>
              <w:rPr>
                <w:rFonts w:hint="eastAsia" w:ascii="仿宋" w:hAnsi="仿宋" w:eastAsia="仿宋" w:cs="仿宋"/>
                <w:sz w:val="24"/>
              </w:rPr>
              <w:t>，19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83</w:t>
            </w:r>
            <w:r>
              <w:rPr>
                <w:rFonts w:hint="eastAsia" w:ascii="仿宋" w:hAnsi="仿宋" w:eastAsia="仿宋" w:cs="仿宋"/>
                <w:sz w:val="24"/>
              </w:rPr>
              <w:t>年1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</w:rPr>
              <w:t>月出生，201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</w:rPr>
              <w:t>月自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大连百奥泰科技有限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lang w:eastAsia="zh-CN"/>
              </w:rPr>
              <w:t>公司</w:t>
            </w:r>
            <w:r>
              <w:rPr>
                <w:rFonts w:hint="eastAsia" w:ascii="仿宋" w:hAnsi="仿宋" w:eastAsia="仿宋" w:cs="仿宋"/>
                <w:sz w:val="24"/>
              </w:rPr>
              <w:t>引进至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大连百傲化学股份有限公司</w:t>
            </w:r>
            <w:r>
              <w:rPr>
                <w:rFonts w:hint="eastAsia" w:ascii="仿宋" w:hAnsi="仿宋" w:eastAsia="仿宋" w:cs="仿宋"/>
                <w:sz w:val="24"/>
              </w:rPr>
              <w:t>，签订书面劳动合同，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合同</w:t>
            </w:r>
            <w:r>
              <w:rPr>
                <w:rFonts w:hint="eastAsia" w:ascii="仿宋" w:hAnsi="仿宋" w:eastAsia="仿宋" w:cs="仿宋"/>
                <w:sz w:val="24"/>
              </w:rPr>
              <w:t>期限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五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在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新</w:t>
            </w:r>
            <w:r>
              <w:rPr>
                <w:rFonts w:hint="eastAsia" w:ascii="仿宋" w:hAnsi="仿宋" w:eastAsia="仿宋" w:cs="仿宋"/>
                <w:sz w:val="24"/>
              </w:rPr>
              <w:t>区缴纳个税。</w:t>
            </w:r>
          </w:p>
        </w:tc>
      </w:tr>
    </w:tbl>
    <w:p/>
    <w:sectPr>
      <w:headerReference r:id="rId3" w:type="first"/>
      <w:footerReference r:id="rId5" w:type="firs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C02fSzFAQAAaw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Hrnkk/FAQAAaw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rPr>
        <w:rFonts w:hint="eastAsia" w:eastAsia="宋体"/>
        <w:b/>
        <w:bCs/>
        <w:sz w:val="32"/>
        <w:szCs w:val="48"/>
        <w:lang w:eastAsia="zh-CN"/>
      </w:rPr>
    </w:pPr>
    <w:r>
      <w:rPr>
        <w:rFonts w:hint="eastAsia"/>
        <w:b/>
        <w:bCs/>
        <w:sz w:val="32"/>
        <w:szCs w:val="48"/>
        <w:lang w:eastAsia="zh-CN"/>
      </w:rPr>
      <w:t>附件：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1427E"/>
    <w:rsid w:val="138A544F"/>
    <w:rsid w:val="160C6BD7"/>
    <w:rsid w:val="2BA60766"/>
    <w:rsid w:val="2C31427E"/>
    <w:rsid w:val="3FFA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2019-01-15T07:03:00Z</dcterms:created>
  <dc:creator>学荣</dc:creator>
  <cp:lastModifiedBy>学荣</cp:lastModifiedBy>
  <cp:lastPrinted>2019-01-15T07:13:00Z</cp:lastPrinted>
  <dcterms:modified xsi:type="dcterms:W3CDTF">2020-05-08T02:00:34Z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