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35B6" w14:textId="581767A6" w:rsidR="00A46375" w:rsidRDefault="0026485B">
      <w:pPr>
        <w:spacing w:line="520" w:lineRule="exact"/>
        <w:jc w:val="left"/>
        <w:rPr>
          <w:rFonts w:ascii="仿宋_GB2312" w:eastAsia="仿宋_GB2312"/>
          <w:b/>
          <w:bCs/>
          <w:sz w:val="30"/>
          <w:szCs w:val="30"/>
        </w:rPr>
      </w:pPr>
      <w:r>
        <w:rPr>
          <w:rFonts w:ascii="仿宋_GB2312" w:eastAsia="仿宋_GB2312" w:hint="eastAsia"/>
          <w:b/>
          <w:bCs/>
          <w:sz w:val="30"/>
          <w:szCs w:val="30"/>
        </w:rPr>
        <w:t xml:space="preserve"> </w:t>
      </w:r>
    </w:p>
    <w:p w14:paraId="0B495173" w14:textId="77777777" w:rsidR="005408E7" w:rsidRDefault="005408E7">
      <w:pPr>
        <w:spacing w:line="520" w:lineRule="exact"/>
        <w:jc w:val="left"/>
        <w:rPr>
          <w:rFonts w:ascii="仿宋_GB2312" w:eastAsia="仿宋_GB2312"/>
          <w:b/>
          <w:bCs/>
          <w:sz w:val="30"/>
          <w:szCs w:val="30"/>
        </w:rPr>
      </w:pPr>
    </w:p>
    <w:p w14:paraId="16C66373" w14:textId="3A65E313" w:rsidR="00A46375" w:rsidRDefault="0071552B">
      <w:pPr>
        <w:spacing w:line="520" w:lineRule="exact"/>
        <w:jc w:val="center"/>
        <w:rPr>
          <w:rFonts w:ascii="仿宋_GB2312" w:eastAsia="仿宋_GB2312"/>
          <w:b/>
          <w:bCs/>
          <w:sz w:val="44"/>
          <w:szCs w:val="44"/>
        </w:rPr>
      </w:pPr>
      <w:r w:rsidRPr="0071552B">
        <w:rPr>
          <w:rFonts w:ascii="仿宋_GB2312" w:eastAsia="仿宋_GB2312" w:hint="eastAsia"/>
          <w:b/>
          <w:bCs/>
          <w:sz w:val="44"/>
          <w:szCs w:val="44"/>
        </w:rPr>
        <w:t>关于</w:t>
      </w:r>
      <w:r>
        <w:rPr>
          <w:rFonts w:ascii="仿宋_GB2312" w:eastAsia="仿宋_GB2312" w:hint="eastAsia"/>
          <w:b/>
          <w:bCs/>
          <w:sz w:val="44"/>
          <w:szCs w:val="44"/>
        </w:rPr>
        <w:t>《大连</w:t>
      </w:r>
      <w:r w:rsidR="0060455F">
        <w:rPr>
          <w:rFonts w:ascii="仿宋_GB2312" w:eastAsia="仿宋_GB2312" w:hint="eastAsia"/>
          <w:b/>
          <w:bCs/>
          <w:sz w:val="44"/>
          <w:szCs w:val="44"/>
        </w:rPr>
        <w:t>金普新区</w:t>
      </w:r>
      <w:r w:rsidR="00442694">
        <w:rPr>
          <w:rFonts w:ascii="仿宋_GB2312" w:eastAsia="仿宋_GB2312" w:hint="eastAsia"/>
          <w:b/>
          <w:bCs/>
          <w:sz w:val="44"/>
          <w:szCs w:val="44"/>
        </w:rPr>
        <w:t>自然资源局关于建筑设计多样性空间增值利用规划管理有关规定(试行)</w:t>
      </w:r>
      <w:r>
        <w:rPr>
          <w:rFonts w:ascii="仿宋_GB2312" w:eastAsia="仿宋_GB2312" w:hint="eastAsia"/>
          <w:b/>
          <w:bCs/>
          <w:sz w:val="44"/>
          <w:szCs w:val="44"/>
        </w:rPr>
        <w:t>》</w:t>
      </w:r>
      <w:r w:rsidRPr="0071552B">
        <w:rPr>
          <w:rFonts w:ascii="仿宋_GB2312" w:eastAsia="仿宋_GB2312" w:hint="eastAsia"/>
          <w:b/>
          <w:bCs/>
          <w:sz w:val="44"/>
          <w:szCs w:val="44"/>
        </w:rPr>
        <w:t>的起草说明</w:t>
      </w:r>
    </w:p>
    <w:p w14:paraId="53E1EEDE" w14:textId="77777777" w:rsidR="00A46375" w:rsidRDefault="00A46375">
      <w:pPr>
        <w:spacing w:line="520" w:lineRule="exact"/>
        <w:jc w:val="center"/>
        <w:rPr>
          <w:rFonts w:ascii="仿宋_GB2312" w:eastAsia="仿宋_GB2312"/>
          <w:b/>
          <w:bCs/>
          <w:sz w:val="44"/>
          <w:szCs w:val="44"/>
        </w:rPr>
      </w:pPr>
    </w:p>
    <w:p w14:paraId="2CB78D87" w14:textId="16F292A9" w:rsidR="0071552B" w:rsidRPr="00BC16F5" w:rsidRDefault="0071552B" w:rsidP="0071552B">
      <w:pPr>
        <w:ind w:firstLineChars="200" w:firstLine="640"/>
        <w:rPr>
          <w:rFonts w:ascii="黑体" w:eastAsia="黑体" w:hAnsi="黑体" w:cs="Times New Roman" w:hint="eastAsia"/>
          <w:sz w:val="32"/>
          <w:szCs w:val="32"/>
        </w:rPr>
      </w:pPr>
      <w:r w:rsidRPr="00BC16F5">
        <w:rPr>
          <w:rFonts w:ascii="黑体" w:eastAsia="黑体" w:hAnsi="黑体" w:cs="Times New Roman" w:hint="eastAsia"/>
          <w:sz w:val="32"/>
          <w:szCs w:val="32"/>
        </w:rPr>
        <w:t>一、</w:t>
      </w:r>
      <w:r>
        <w:rPr>
          <w:rFonts w:ascii="黑体" w:eastAsia="黑体" w:hAnsi="黑体" w:cs="Times New Roman" w:hint="eastAsia"/>
          <w:sz w:val="32"/>
          <w:szCs w:val="32"/>
        </w:rPr>
        <w:t>制定的必要性和可行性</w:t>
      </w:r>
    </w:p>
    <w:p w14:paraId="207BA03B" w14:textId="2C14DDDC" w:rsidR="0071552B" w:rsidRDefault="00442694" w:rsidP="00B82A12">
      <w:pPr>
        <w:spacing w:line="520" w:lineRule="exact"/>
        <w:ind w:firstLineChars="200" w:firstLine="640"/>
        <w:rPr>
          <w:rFonts w:ascii="仿宋_GB2312" w:eastAsia="仿宋_GB2312"/>
          <w:sz w:val="32"/>
          <w:szCs w:val="32"/>
        </w:rPr>
      </w:pPr>
      <w:r>
        <w:rPr>
          <w:rFonts w:ascii="仿宋_GB2312" w:eastAsia="仿宋_GB2312" w:hint="eastAsia"/>
          <w:sz w:val="32"/>
          <w:szCs w:val="32"/>
        </w:rPr>
        <w:t>为适应住房建设标准不断提升的发展趋势,满足人民“住好房子”的需求,进一步提升居民“获得感”，符合建筑设计精细化、多样化管理需求,在国家及地方相关规范标准的基础上,</w:t>
      </w:r>
      <w:r w:rsidR="0071552B" w:rsidRPr="0071552B">
        <w:rPr>
          <w:rFonts w:hint="eastAsia"/>
        </w:rPr>
        <w:t xml:space="preserve"> </w:t>
      </w:r>
      <w:r w:rsidR="0071552B" w:rsidRPr="0071552B">
        <w:rPr>
          <w:rFonts w:ascii="仿宋_GB2312" w:eastAsia="仿宋_GB2312" w:hint="eastAsia"/>
          <w:sz w:val="32"/>
          <w:szCs w:val="32"/>
        </w:rPr>
        <w:t>新区自然资源局</w:t>
      </w:r>
      <w:r>
        <w:rPr>
          <w:rFonts w:ascii="仿宋_GB2312" w:eastAsia="仿宋_GB2312" w:hint="eastAsia"/>
          <w:sz w:val="32"/>
          <w:szCs w:val="32"/>
        </w:rPr>
        <w:t>结合我</w:t>
      </w:r>
      <w:r w:rsidR="00461D77">
        <w:rPr>
          <w:rFonts w:ascii="仿宋_GB2312" w:eastAsia="仿宋_GB2312" w:hint="eastAsia"/>
          <w:sz w:val="32"/>
          <w:szCs w:val="32"/>
        </w:rPr>
        <w:t>区</w:t>
      </w:r>
      <w:r>
        <w:rPr>
          <w:rFonts w:ascii="仿宋_GB2312" w:eastAsia="仿宋_GB2312" w:hint="eastAsia"/>
          <w:sz w:val="32"/>
          <w:szCs w:val="32"/>
        </w:rPr>
        <w:t>实际情况,</w:t>
      </w:r>
      <w:r w:rsidR="008C650D">
        <w:rPr>
          <w:rFonts w:ascii="仿宋_GB2312" w:eastAsia="仿宋_GB2312" w:hint="eastAsia"/>
          <w:sz w:val="32"/>
          <w:szCs w:val="32"/>
        </w:rPr>
        <w:t>参照《大连市</w:t>
      </w:r>
      <w:r w:rsidR="008C650D" w:rsidRPr="008C650D">
        <w:rPr>
          <w:rFonts w:ascii="仿宋_GB2312" w:eastAsia="仿宋_GB2312" w:hint="eastAsia"/>
          <w:sz w:val="32"/>
          <w:szCs w:val="32"/>
        </w:rPr>
        <w:t>自然资源局关于建筑设计多样性空间增值利用规划管理有关规定(试行)</w:t>
      </w:r>
      <w:r w:rsidR="008C650D">
        <w:rPr>
          <w:rFonts w:ascii="仿宋_GB2312" w:eastAsia="仿宋_GB2312" w:hint="eastAsia"/>
          <w:sz w:val="32"/>
          <w:szCs w:val="32"/>
        </w:rPr>
        <w:t>》</w:t>
      </w:r>
      <w:r>
        <w:rPr>
          <w:rFonts w:ascii="仿宋_GB2312" w:eastAsia="仿宋_GB2312" w:hint="eastAsia"/>
          <w:sz w:val="32"/>
          <w:szCs w:val="32"/>
        </w:rPr>
        <w:t>制定</w:t>
      </w:r>
      <w:r w:rsidR="0071552B" w:rsidRPr="0071552B">
        <w:rPr>
          <w:rFonts w:ascii="仿宋_GB2312" w:eastAsia="仿宋_GB2312" w:hint="eastAsia"/>
          <w:sz w:val="32"/>
          <w:szCs w:val="32"/>
        </w:rPr>
        <w:t>《</w:t>
      </w:r>
      <w:r w:rsidR="0071552B">
        <w:rPr>
          <w:rFonts w:ascii="仿宋_GB2312" w:eastAsia="仿宋_GB2312" w:hint="eastAsia"/>
          <w:sz w:val="32"/>
          <w:szCs w:val="32"/>
        </w:rPr>
        <w:t>大连</w:t>
      </w:r>
      <w:r w:rsidR="0071552B" w:rsidRPr="0071552B">
        <w:rPr>
          <w:rFonts w:ascii="仿宋_GB2312" w:eastAsia="仿宋_GB2312" w:hint="eastAsia"/>
          <w:sz w:val="32"/>
          <w:szCs w:val="32"/>
        </w:rPr>
        <w:t>金普新区自然资源局关于建筑设计多样性空间增值利用规划管理有关规定(试行)》</w:t>
      </w:r>
      <w:r w:rsidR="00C2029C">
        <w:rPr>
          <w:rFonts w:ascii="仿宋_GB2312" w:eastAsia="仿宋_GB2312" w:hint="eastAsia"/>
          <w:sz w:val="32"/>
          <w:szCs w:val="32"/>
        </w:rPr>
        <w:t>,适用范围为住宅</w:t>
      </w:r>
      <w:r w:rsidR="00144BA6">
        <w:rPr>
          <w:rFonts w:ascii="仿宋_GB2312" w:eastAsia="仿宋_GB2312" w:hint="eastAsia"/>
          <w:sz w:val="32"/>
          <w:szCs w:val="32"/>
        </w:rPr>
        <w:t>项目</w:t>
      </w:r>
      <w:r w:rsidR="00C2029C">
        <w:rPr>
          <w:rFonts w:ascii="仿宋_GB2312" w:eastAsia="仿宋_GB2312" w:hint="eastAsia"/>
          <w:sz w:val="32"/>
          <w:szCs w:val="32"/>
        </w:rPr>
        <w:t>（70年产权</w:t>
      </w:r>
      <w:r w:rsidR="00214621">
        <w:rPr>
          <w:rFonts w:ascii="仿宋_GB2312" w:eastAsia="仿宋_GB2312" w:hint="eastAsia"/>
          <w:sz w:val="32"/>
          <w:szCs w:val="32"/>
        </w:rPr>
        <w:t>居住式公寓参照</w:t>
      </w:r>
      <w:r w:rsidR="00200FA6">
        <w:rPr>
          <w:rFonts w:ascii="仿宋_GB2312" w:eastAsia="仿宋_GB2312" w:hint="eastAsia"/>
          <w:sz w:val="32"/>
          <w:szCs w:val="32"/>
        </w:rPr>
        <w:t>住宅标准</w:t>
      </w:r>
      <w:r w:rsidR="00214621">
        <w:rPr>
          <w:rFonts w:ascii="仿宋_GB2312" w:eastAsia="仿宋_GB2312" w:hint="eastAsia"/>
          <w:sz w:val="32"/>
          <w:szCs w:val="32"/>
        </w:rPr>
        <w:t>执行</w:t>
      </w:r>
      <w:r w:rsidR="00C2029C">
        <w:rPr>
          <w:rFonts w:ascii="仿宋_GB2312" w:eastAsia="仿宋_GB2312" w:hint="eastAsia"/>
          <w:sz w:val="32"/>
          <w:szCs w:val="32"/>
        </w:rPr>
        <w:t>）</w:t>
      </w:r>
      <w:r>
        <w:rPr>
          <w:rFonts w:ascii="仿宋_GB2312" w:eastAsia="仿宋_GB2312" w:hint="eastAsia"/>
          <w:sz w:val="32"/>
          <w:szCs w:val="32"/>
        </w:rPr>
        <w:t>。</w:t>
      </w:r>
      <w:r w:rsidR="0071552B">
        <w:rPr>
          <w:rFonts w:ascii="仿宋_GB2312" w:eastAsia="仿宋_GB2312" w:hint="eastAsia"/>
          <w:sz w:val="32"/>
          <w:szCs w:val="32"/>
        </w:rPr>
        <w:t>本政策举措涉及规划管理要求、</w:t>
      </w:r>
      <w:r w:rsidR="0071552B" w:rsidRPr="0071552B">
        <w:rPr>
          <w:rFonts w:ascii="仿宋_GB2312" w:eastAsia="仿宋_GB2312" w:hint="eastAsia"/>
          <w:sz w:val="32"/>
          <w:szCs w:val="32"/>
        </w:rPr>
        <w:t>“补短板”鼓励措施</w:t>
      </w:r>
      <w:r w:rsidR="00B82A12">
        <w:rPr>
          <w:rFonts w:ascii="仿宋_GB2312" w:eastAsia="仿宋_GB2312" w:hint="eastAsia"/>
          <w:sz w:val="32"/>
          <w:szCs w:val="32"/>
        </w:rPr>
        <w:t>、</w:t>
      </w:r>
      <w:r w:rsidR="00B82A12" w:rsidRPr="00B82A12">
        <w:rPr>
          <w:rFonts w:ascii="仿宋_GB2312" w:eastAsia="仿宋_GB2312" w:hint="eastAsia"/>
          <w:sz w:val="32"/>
          <w:szCs w:val="32"/>
        </w:rPr>
        <w:t>审批手续办理</w:t>
      </w:r>
      <w:r w:rsidR="00B82A12">
        <w:rPr>
          <w:rFonts w:ascii="仿宋_GB2312" w:eastAsia="仿宋_GB2312" w:hint="eastAsia"/>
          <w:sz w:val="32"/>
          <w:szCs w:val="32"/>
        </w:rPr>
        <w:t>、</w:t>
      </w:r>
      <w:r w:rsidR="00B82A12" w:rsidRPr="00B82A12">
        <w:rPr>
          <w:rFonts w:ascii="仿宋_GB2312" w:eastAsia="仿宋_GB2312" w:hint="eastAsia"/>
          <w:sz w:val="32"/>
          <w:szCs w:val="32"/>
        </w:rPr>
        <w:t>责任与监督</w:t>
      </w:r>
      <w:r w:rsidR="00B82A12">
        <w:rPr>
          <w:rFonts w:ascii="仿宋_GB2312" w:eastAsia="仿宋_GB2312" w:hint="eastAsia"/>
          <w:sz w:val="32"/>
          <w:szCs w:val="32"/>
        </w:rPr>
        <w:t>四个部分，用以指导新区的规划审批工作，</w:t>
      </w:r>
      <w:r w:rsidR="00B82A12" w:rsidRPr="00B82A12">
        <w:rPr>
          <w:rFonts w:ascii="仿宋_GB2312" w:eastAsia="仿宋_GB2312" w:hint="eastAsia"/>
          <w:sz w:val="32"/>
          <w:szCs w:val="32"/>
        </w:rPr>
        <w:t>解决工作中遇到的难点问题。</w:t>
      </w:r>
    </w:p>
    <w:p w14:paraId="0EB2749C" w14:textId="025859FC" w:rsidR="006E5EFF" w:rsidRDefault="00B82A12" w:rsidP="006E5EFF">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二</w:t>
      </w:r>
      <w:r w:rsidRPr="00BC16F5">
        <w:rPr>
          <w:rFonts w:ascii="黑体" w:eastAsia="黑体" w:hAnsi="黑体" w:cs="Times New Roman" w:hint="eastAsia"/>
          <w:sz w:val="32"/>
          <w:szCs w:val="32"/>
        </w:rPr>
        <w:t>、</w:t>
      </w:r>
      <w:proofErr w:type="gramStart"/>
      <w:r w:rsidRPr="00B82A12">
        <w:rPr>
          <w:rFonts w:ascii="黑体" w:eastAsia="黑体" w:hAnsi="黑体" w:cs="Times New Roman" w:hint="eastAsia"/>
          <w:sz w:val="32"/>
          <w:szCs w:val="32"/>
        </w:rPr>
        <w:t>拟规定</w:t>
      </w:r>
      <w:proofErr w:type="gramEnd"/>
      <w:r w:rsidRPr="00B82A12">
        <w:rPr>
          <w:rFonts w:ascii="黑体" w:eastAsia="黑体" w:hAnsi="黑体" w:cs="Times New Roman" w:hint="eastAsia"/>
          <w:sz w:val="32"/>
          <w:szCs w:val="32"/>
        </w:rPr>
        <w:t>的主要制度和措施</w:t>
      </w:r>
    </w:p>
    <w:p w14:paraId="761D624D" w14:textId="00C591AA" w:rsidR="006E5EFF" w:rsidRPr="006E5EFF" w:rsidRDefault="006E5EFF" w:rsidP="006E5EFF">
      <w:pPr>
        <w:ind w:firstLineChars="200" w:firstLine="643"/>
        <w:rPr>
          <w:rFonts w:ascii="楷体_GB2312" w:eastAsia="楷体_GB2312"/>
          <w:b/>
          <w:bCs/>
          <w:sz w:val="32"/>
          <w:szCs w:val="32"/>
        </w:rPr>
      </w:pPr>
      <w:r w:rsidRPr="00A14AF8">
        <w:rPr>
          <w:rFonts w:ascii="楷体_GB2312" w:eastAsia="楷体_GB2312" w:hint="eastAsia"/>
          <w:b/>
          <w:bCs/>
          <w:sz w:val="32"/>
          <w:szCs w:val="32"/>
        </w:rPr>
        <w:t>（一）</w:t>
      </w:r>
      <w:r w:rsidRPr="006E5EFF">
        <w:rPr>
          <w:rFonts w:ascii="楷体_GB2312" w:eastAsia="楷体_GB2312" w:hint="eastAsia"/>
          <w:b/>
          <w:bCs/>
          <w:sz w:val="32"/>
          <w:szCs w:val="32"/>
        </w:rPr>
        <w:t>规划管理要求</w:t>
      </w:r>
      <w:r w:rsidRPr="006E5EFF">
        <w:rPr>
          <w:rFonts w:ascii="楷体_GB2312" w:eastAsia="楷体_GB2312" w:hint="eastAsia"/>
          <w:b/>
          <w:bCs/>
          <w:sz w:val="32"/>
          <w:szCs w:val="32"/>
        </w:rPr>
        <w:t>——</w:t>
      </w:r>
      <w:r w:rsidRPr="00A14AF8">
        <w:rPr>
          <w:rFonts w:ascii="楷体_GB2312" w:eastAsia="楷体_GB2312" w:hint="eastAsia"/>
          <w:b/>
          <w:bCs/>
          <w:sz w:val="32"/>
          <w:szCs w:val="32"/>
        </w:rPr>
        <w:t>可利用的增值空间</w:t>
      </w:r>
    </w:p>
    <w:p w14:paraId="6051279F"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1.允许住宅门厅、起居厅、餐厅等设置挑空空间,通高部分按一层计算建筑面积。应满足以下要求:</w:t>
      </w:r>
    </w:p>
    <w:p w14:paraId="2469DE26" w14:textId="77777777" w:rsidR="006E5EFF" w:rsidRPr="00DA29DE" w:rsidRDefault="006E5EFF" w:rsidP="006E5EFF">
      <w:pPr>
        <w:pStyle w:val="a7"/>
        <w:numPr>
          <w:ilvl w:val="0"/>
          <w:numId w:val="7"/>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通高部位的建筑层高不应超过 7.2米。</w:t>
      </w:r>
    </w:p>
    <w:p w14:paraId="0C7C140D" w14:textId="77777777" w:rsidR="006E5EFF" w:rsidRPr="00F7445E" w:rsidRDefault="006E5EFF" w:rsidP="006E5EFF">
      <w:pPr>
        <w:pStyle w:val="a7"/>
        <w:numPr>
          <w:ilvl w:val="0"/>
          <w:numId w:val="7"/>
        </w:numPr>
        <w:spacing w:line="520" w:lineRule="exact"/>
        <w:ind w:left="641" w:firstLineChars="0" w:firstLine="0"/>
        <w:rPr>
          <w:rFonts w:ascii="仿宋_GB2312" w:eastAsia="仿宋_GB2312"/>
          <w:sz w:val="32"/>
          <w:szCs w:val="32"/>
        </w:rPr>
      </w:pPr>
      <w:r w:rsidRPr="00F7445E">
        <w:rPr>
          <w:rFonts w:ascii="仿宋_GB2312" w:eastAsia="仿宋_GB2312" w:hint="eastAsia"/>
          <w:sz w:val="32"/>
          <w:szCs w:val="32"/>
        </w:rPr>
        <w:t>通高部位建筑面积总和不应超过该住宅</w:t>
      </w:r>
      <w:r>
        <w:rPr>
          <w:rFonts w:ascii="仿宋_GB2312" w:eastAsia="仿宋_GB2312" w:hint="eastAsia"/>
          <w:sz w:val="32"/>
          <w:szCs w:val="32"/>
        </w:rPr>
        <w:t>产权</w:t>
      </w:r>
      <w:r w:rsidRPr="00F7445E">
        <w:rPr>
          <w:rFonts w:ascii="仿宋_GB2312" w:eastAsia="仿宋_GB2312" w:hint="eastAsia"/>
          <w:sz w:val="32"/>
          <w:szCs w:val="32"/>
        </w:rPr>
        <w:t>建筑面积的 35%。</w:t>
      </w:r>
    </w:p>
    <w:p w14:paraId="0F19EBB3" w14:textId="77777777" w:rsidR="006E5EFF" w:rsidRPr="00214621"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2.鼓励住宅建筑采用坡屋顶,丰富建筑第五立面。坡屋</w:t>
      </w:r>
      <w:r>
        <w:rPr>
          <w:rFonts w:ascii="仿宋_GB2312" w:eastAsia="仿宋_GB2312" w:hint="eastAsia"/>
          <w:sz w:val="32"/>
          <w:szCs w:val="32"/>
        </w:rPr>
        <w:lastRenderedPageBreak/>
        <w:t>顶空间不计算建筑面积。</w:t>
      </w:r>
    </w:p>
    <w:p w14:paraId="7073F59C" w14:textId="77777777" w:rsidR="006E5EFF" w:rsidRDefault="006E5EFF" w:rsidP="006E5EFF">
      <w:pPr>
        <w:pStyle w:val="a7"/>
        <w:numPr>
          <w:ilvl w:val="0"/>
          <w:numId w:val="9"/>
        </w:numPr>
        <w:spacing w:line="520" w:lineRule="exact"/>
        <w:ind w:left="641" w:firstLineChars="0" w:firstLine="0"/>
        <w:rPr>
          <w:rFonts w:ascii="仿宋_GB2312" w:eastAsia="仿宋_GB2312"/>
          <w:sz w:val="32"/>
          <w:szCs w:val="32"/>
        </w:rPr>
      </w:pPr>
      <w:r w:rsidRPr="00C535A7">
        <w:rPr>
          <w:rFonts w:ascii="仿宋_GB2312" w:eastAsia="仿宋_GB2312" w:hint="eastAsia"/>
          <w:sz w:val="32"/>
          <w:szCs w:val="32"/>
        </w:rPr>
        <w:t>坡屋顶与顶层之间不允许增设楼板，允许设天窗、老虎窗</w:t>
      </w:r>
      <w:r>
        <w:rPr>
          <w:rFonts w:ascii="仿宋_GB2312" w:eastAsia="仿宋_GB2312" w:hint="eastAsia"/>
          <w:sz w:val="32"/>
          <w:szCs w:val="32"/>
        </w:rPr>
        <w:t>。</w:t>
      </w:r>
    </w:p>
    <w:p w14:paraId="2BA25BBB" w14:textId="77777777" w:rsidR="006E5EFF" w:rsidRDefault="006E5EFF" w:rsidP="006E5EFF">
      <w:pPr>
        <w:pStyle w:val="a7"/>
        <w:numPr>
          <w:ilvl w:val="0"/>
          <w:numId w:val="9"/>
        </w:numPr>
        <w:spacing w:line="520" w:lineRule="exact"/>
        <w:ind w:left="641" w:firstLineChars="0" w:firstLine="0"/>
        <w:rPr>
          <w:rFonts w:ascii="仿宋_GB2312" w:eastAsia="仿宋_GB2312"/>
          <w:sz w:val="32"/>
          <w:szCs w:val="32"/>
        </w:rPr>
      </w:pPr>
      <w:r>
        <w:rPr>
          <w:rFonts w:ascii="仿宋_GB2312" w:eastAsia="仿宋_GB2312" w:hint="eastAsia"/>
          <w:sz w:val="32"/>
          <w:szCs w:val="32"/>
        </w:rPr>
        <w:t>原则上</w:t>
      </w:r>
      <w:r w:rsidRPr="00C535A7">
        <w:rPr>
          <w:rFonts w:ascii="仿宋_GB2312" w:eastAsia="仿宋_GB2312" w:hint="eastAsia"/>
          <w:sz w:val="32"/>
          <w:szCs w:val="32"/>
        </w:rPr>
        <w:t>采用至少双面</w:t>
      </w:r>
      <w:proofErr w:type="gramStart"/>
      <w:r w:rsidRPr="00C535A7">
        <w:rPr>
          <w:rFonts w:ascii="仿宋_GB2312" w:eastAsia="仿宋_GB2312" w:hint="eastAsia"/>
          <w:sz w:val="32"/>
          <w:szCs w:val="32"/>
        </w:rPr>
        <w:t>一</w:t>
      </w:r>
      <w:proofErr w:type="gramEnd"/>
      <w:r w:rsidRPr="00C535A7">
        <w:rPr>
          <w:rFonts w:ascii="仿宋_GB2312" w:eastAsia="仿宋_GB2312" w:hint="eastAsia"/>
          <w:sz w:val="32"/>
          <w:szCs w:val="32"/>
        </w:rPr>
        <w:t>坡到顶形式</w:t>
      </w:r>
      <w:r>
        <w:rPr>
          <w:rFonts w:ascii="仿宋_GB2312" w:eastAsia="仿宋_GB2312" w:hint="eastAsia"/>
          <w:sz w:val="32"/>
          <w:szCs w:val="32"/>
        </w:rPr>
        <w:t>（若采用法式平顶，需按照民用建筑通用规范要求计算建筑面积）。</w:t>
      </w:r>
    </w:p>
    <w:p w14:paraId="0EA5EABB" w14:textId="77777777" w:rsidR="006E5EFF" w:rsidRPr="00BD29F9" w:rsidRDefault="006E5EFF" w:rsidP="006E5EFF">
      <w:pPr>
        <w:pStyle w:val="a7"/>
        <w:numPr>
          <w:ilvl w:val="0"/>
          <w:numId w:val="9"/>
        </w:numPr>
        <w:spacing w:line="520" w:lineRule="exact"/>
        <w:ind w:left="641" w:firstLineChars="0" w:firstLine="0"/>
        <w:rPr>
          <w:rFonts w:ascii="仿宋_GB2312" w:eastAsia="仿宋_GB2312"/>
          <w:sz w:val="32"/>
          <w:szCs w:val="32"/>
        </w:rPr>
      </w:pPr>
      <w:r>
        <w:rPr>
          <w:rFonts w:ascii="仿宋_GB2312" w:eastAsia="仿宋_GB2312" w:hint="eastAsia"/>
          <w:sz w:val="32"/>
          <w:szCs w:val="32"/>
        </w:rPr>
        <w:t>坡屋面可居住部分供热面积按照投影面积平均高度对供热面积进行计算（解释权归</w:t>
      </w:r>
      <w:proofErr w:type="gramStart"/>
      <w:r>
        <w:rPr>
          <w:rFonts w:ascii="仿宋_GB2312" w:eastAsia="仿宋_GB2312" w:hint="eastAsia"/>
          <w:sz w:val="32"/>
          <w:szCs w:val="32"/>
        </w:rPr>
        <w:t>新区住</w:t>
      </w:r>
      <w:proofErr w:type="gramEnd"/>
      <w:r>
        <w:rPr>
          <w:rFonts w:ascii="仿宋_GB2312" w:eastAsia="仿宋_GB2312" w:hint="eastAsia"/>
          <w:sz w:val="32"/>
          <w:szCs w:val="32"/>
        </w:rPr>
        <w:t>建局所有）。</w:t>
      </w:r>
    </w:p>
    <w:p w14:paraId="0E2ABA97" w14:textId="77777777" w:rsidR="006E5EFF" w:rsidRPr="008C66CF" w:rsidRDefault="006E5EFF" w:rsidP="006E5EFF">
      <w:pPr>
        <w:spacing w:line="52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3.住宅</w:t>
      </w:r>
      <w:r w:rsidRPr="008C66CF">
        <w:rPr>
          <w:rFonts w:ascii="仿宋_GB2312" w:eastAsia="仿宋_GB2312" w:hint="eastAsia"/>
          <w:color w:val="000000" w:themeColor="text1"/>
          <w:sz w:val="32"/>
          <w:szCs w:val="32"/>
        </w:rPr>
        <w:t>（低层除外）单元正投影下方的地下空间增值利用部分(含车库上方与住宅底座间结构夹层)建筑面积可享受建筑面积奖励，且</w:t>
      </w:r>
      <w:r w:rsidRPr="008C66CF">
        <w:rPr>
          <w:rFonts w:ascii="仿宋_GB2312" w:eastAsia="仿宋_GB2312"/>
          <w:color w:val="000000" w:themeColor="text1"/>
          <w:sz w:val="32"/>
          <w:szCs w:val="32"/>
        </w:rPr>
        <w:t>不计</w:t>
      </w:r>
      <w:proofErr w:type="gramStart"/>
      <w:r w:rsidRPr="008C66CF">
        <w:rPr>
          <w:rFonts w:ascii="仿宋_GB2312" w:eastAsia="仿宋_GB2312"/>
          <w:color w:val="000000" w:themeColor="text1"/>
          <w:sz w:val="32"/>
          <w:szCs w:val="32"/>
        </w:rPr>
        <w:t>入</w:t>
      </w:r>
      <w:r w:rsidRPr="008C66CF">
        <w:rPr>
          <w:rFonts w:ascii="仿宋_GB2312" w:eastAsia="仿宋_GB2312" w:hint="eastAsia"/>
          <w:color w:val="000000" w:themeColor="text1"/>
          <w:sz w:val="32"/>
          <w:szCs w:val="32"/>
        </w:rPr>
        <w:t>规划</w:t>
      </w:r>
      <w:proofErr w:type="gramEnd"/>
      <w:r w:rsidRPr="008C66CF">
        <w:rPr>
          <w:rFonts w:ascii="仿宋_GB2312" w:eastAsia="仿宋_GB2312" w:hint="eastAsia"/>
          <w:color w:val="000000" w:themeColor="text1"/>
          <w:sz w:val="32"/>
          <w:szCs w:val="32"/>
        </w:rPr>
        <w:t>条件</w:t>
      </w:r>
      <w:r w:rsidRPr="008C66CF">
        <w:rPr>
          <w:rFonts w:ascii="仿宋_GB2312" w:eastAsia="仿宋_GB2312"/>
          <w:color w:val="000000" w:themeColor="text1"/>
          <w:sz w:val="32"/>
          <w:szCs w:val="32"/>
        </w:rPr>
        <w:t>约定</w:t>
      </w:r>
      <w:r w:rsidRPr="008C66CF">
        <w:rPr>
          <w:rFonts w:ascii="仿宋_GB2312" w:eastAsia="仿宋_GB2312" w:hint="eastAsia"/>
          <w:color w:val="000000" w:themeColor="text1"/>
          <w:sz w:val="32"/>
          <w:szCs w:val="32"/>
        </w:rPr>
        <w:t>的</w:t>
      </w:r>
      <w:r w:rsidRPr="008C66CF">
        <w:rPr>
          <w:rFonts w:ascii="仿宋_GB2312" w:eastAsia="仿宋_GB2312"/>
          <w:color w:val="000000" w:themeColor="text1"/>
          <w:sz w:val="32"/>
          <w:szCs w:val="32"/>
        </w:rPr>
        <w:t>容积率</w:t>
      </w:r>
      <w:r w:rsidRPr="008C66CF">
        <w:rPr>
          <w:rFonts w:ascii="仿宋_GB2312" w:eastAsia="仿宋_GB2312" w:hint="eastAsia"/>
          <w:color w:val="000000" w:themeColor="text1"/>
          <w:sz w:val="32"/>
          <w:szCs w:val="32"/>
        </w:rPr>
        <w:t>，住宅地下室净高原则上不超过 6.0米，不得设置采光井，地下室可进行分隔作为仓库供本单元业主使用</w:t>
      </w:r>
      <w:r>
        <w:rPr>
          <w:rFonts w:ascii="仿宋_GB2312" w:eastAsia="仿宋_GB2312" w:hint="eastAsia"/>
          <w:color w:val="000000" w:themeColor="text1"/>
          <w:sz w:val="32"/>
          <w:szCs w:val="32"/>
        </w:rPr>
        <w:t>。</w:t>
      </w:r>
      <w:r w:rsidRPr="008C66CF">
        <w:rPr>
          <w:rFonts w:ascii="仿宋_GB2312" w:eastAsia="仿宋_GB2312"/>
          <w:color w:val="000000" w:themeColor="text1"/>
          <w:sz w:val="32"/>
          <w:szCs w:val="32"/>
        </w:rPr>
        <w:t xml:space="preserve"> </w:t>
      </w:r>
    </w:p>
    <w:p w14:paraId="1844DE3E" w14:textId="77777777" w:rsidR="006E5EFF" w:rsidRPr="004050B9" w:rsidRDefault="006E5EFF" w:rsidP="006E5EFF">
      <w:pPr>
        <w:spacing w:line="520" w:lineRule="exact"/>
        <w:ind w:firstLineChars="200" w:firstLine="640"/>
        <w:rPr>
          <w:rFonts w:ascii="Times New Roman" w:eastAsia="仿宋_GB2312" w:hAnsi="Times New Roman" w:cs="Times New Roman"/>
          <w:b/>
          <w:bCs/>
          <w:sz w:val="32"/>
          <w:szCs w:val="32"/>
        </w:rPr>
      </w:pPr>
      <w:r>
        <w:rPr>
          <w:rFonts w:ascii="仿宋_GB2312" w:eastAsia="仿宋_GB2312" w:hint="eastAsia"/>
          <w:sz w:val="32"/>
          <w:szCs w:val="32"/>
        </w:rPr>
        <w:t>4.鼓励推行适合</w:t>
      </w:r>
      <w:r w:rsidRPr="00AE425F">
        <w:rPr>
          <w:rFonts w:ascii="仿宋_GB2312" w:eastAsia="仿宋_GB2312" w:hint="eastAsia"/>
          <w:sz w:val="32"/>
          <w:szCs w:val="32"/>
        </w:rPr>
        <w:t>大连的城市森林花园住宅（“第四代住宅”）新模式，产权建筑面积大于90平方米的住宅建筑。原则同意审批飘窗、阳台、露台、设备</w:t>
      </w:r>
      <w:r w:rsidRPr="001D6551">
        <w:rPr>
          <w:rFonts w:ascii="仿宋_GB2312" w:eastAsia="仿宋_GB2312" w:hint="eastAsia"/>
          <w:sz w:val="32"/>
          <w:szCs w:val="32"/>
        </w:rPr>
        <w:t>阳台</w:t>
      </w:r>
      <w:r>
        <w:rPr>
          <w:rFonts w:ascii="仿宋_GB2312" w:eastAsia="仿宋_GB2312" w:hint="eastAsia"/>
          <w:sz w:val="32"/>
          <w:szCs w:val="32"/>
        </w:rPr>
        <w:t>，不允许设计开敞阳台</w:t>
      </w:r>
      <w:r w:rsidRPr="001D6551">
        <w:rPr>
          <w:rFonts w:ascii="仿宋_GB2312" w:eastAsia="仿宋_GB2312" w:hint="eastAsia"/>
          <w:sz w:val="32"/>
          <w:szCs w:val="32"/>
        </w:rPr>
        <w:t>（</w:t>
      </w:r>
      <w:r>
        <w:rPr>
          <w:rFonts w:ascii="仿宋_GB2312" w:eastAsia="仿宋_GB2312" w:hint="eastAsia"/>
          <w:sz w:val="32"/>
          <w:szCs w:val="32"/>
        </w:rPr>
        <w:t>除去露台外，</w:t>
      </w:r>
      <w:r w:rsidRPr="00B873CC">
        <w:rPr>
          <w:rFonts w:ascii="仿宋_GB2312" w:eastAsia="仿宋_GB2312" w:hint="eastAsia"/>
          <w:sz w:val="32"/>
          <w:szCs w:val="32"/>
        </w:rPr>
        <w:t>该项增值建筑面积</w:t>
      </w:r>
      <w:r w:rsidRPr="001D6551">
        <w:rPr>
          <w:rFonts w:ascii="仿宋_GB2312" w:eastAsia="仿宋_GB2312" w:hint="eastAsia"/>
          <w:sz w:val="32"/>
          <w:szCs w:val="32"/>
        </w:rPr>
        <w:t>不应大于该住宅</w:t>
      </w:r>
      <w:r>
        <w:rPr>
          <w:rFonts w:ascii="仿宋_GB2312" w:eastAsia="仿宋_GB2312" w:hint="eastAsia"/>
          <w:sz w:val="32"/>
          <w:szCs w:val="32"/>
        </w:rPr>
        <w:t>产权</w:t>
      </w:r>
      <w:r w:rsidRPr="001D6551">
        <w:rPr>
          <w:rFonts w:ascii="仿宋_GB2312" w:eastAsia="仿宋_GB2312" w:hint="eastAsia"/>
          <w:sz w:val="32"/>
          <w:szCs w:val="32"/>
        </w:rPr>
        <w:t>建筑面积的</w:t>
      </w:r>
      <w:r w:rsidRPr="000D1D3D">
        <w:rPr>
          <w:rFonts w:ascii="仿宋_GB2312" w:eastAsia="仿宋_GB2312" w:hint="eastAsia"/>
          <w:sz w:val="32"/>
          <w:szCs w:val="32"/>
        </w:rPr>
        <w:t>25%</w:t>
      </w:r>
      <w:r w:rsidRPr="001D6551">
        <w:rPr>
          <w:rFonts w:ascii="仿宋_GB2312" w:eastAsia="仿宋_GB2312" w:hint="eastAsia"/>
          <w:sz w:val="32"/>
          <w:szCs w:val="32"/>
        </w:rPr>
        <w:t>）。具体</w:t>
      </w:r>
      <w:r>
        <w:rPr>
          <w:rFonts w:ascii="仿宋_GB2312" w:eastAsia="仿宋_GB2312" w:hint="eastAsia"/>
          <w:sz w:val="32"/>
          <w:szCs w:val="32"/>
        </w:rPr>
        <w:t>可按照以下</w:t>
      </w:r>
      <w:r w:rsidRPr="001D6551">
        <w:rPr>
          <w:rFonts w:ascii="仿宋_GB2312" w:eastAsia="仿宋_GB2312" w:hint="eastAsia"/>
          <w:sz w:val="32"/>
          <w:szCs w:val="32"/>
        </w:rPr>
        <w:t>要</w:t>
      </w:r>
      <w:r>
        <w:rPr>
          <w:rFonts w:ascii="仿宋_GB2312" w:eastAsia="仿宋_GB2312" w:hint="eastAsia"/>
          <w:sz w:val="32"/>
          <w:szCs w:val="32"/>
        </w:rPr>
        <w:t>求</w:t>
      </w:r>
      <w:r w:rsidRPr="004050B9">
        <w:rPr>
          <w:rFonts w:ascii="仿宋_GB2312" w:eastAsia="仿宋_GB2312" w:hint="eastAsia"/>
          <w:sz w:val="32"/>
          <w:szCs w:val="32"/>
        </w:rPr>
        <w:t>进行规划</w:t>
      </w:r>
      <w:r>
        <w:rPr>
          <w:rFonts w:ascii="仿宋_GB2312" w:eastAsia="仿宋_GB2312" w:hint="eastAsia"/>
          <w:sz w:val="32"/>
          <w:szCs w:val="32"/>
        </w:rPr>
        <w:t>审批</w:t>
      </w:r>
      <w:r w:rsidRPr="001D6551">
        <w:rPr>
          <w:rFonts w:ascii="仿宋_GB2312" w:eastAsia="仿宋_GB2312" w:hint="eastAsia"/>
          <w:sz w:val="32"/>
          <w:szCs w:val="32"/>
        </w:rPr>
        <w:t>：</w:t>
      </w:r>
    </w:p>
    <w:p w14:paraId="250EAA85" w14:textId="77777777" w:rsidR="006E5EFF" w:rsidRDefault="006E5EFF" w:rsidP="006E5EFF">
      <w:pPr>
        <w:pStyle w:val="a7"/>
        <w:numPr>
          <w:ilvl w:val="0"/>
          <w:numId w:val="10"/>
        </w:numPr>
        <w:spacing w:line="520" w:lineRule="exact"/>
        <w:ind w:left="641" w:firstLineChars="0" w:firstLine="0"/>
        <w:rPr>
          <w:rFonts w:ascii="仿宋_GB2312" w:eastAsia="仿宋_GB2312"/>
          <w:sz w:val="32"/>
          <w:szCs w:val="32"/>
        </w:rPr>
      </w:pPr>
      <w:r w:rsidRPr="00A14AF8">
        <w:rPr>
          <w:rFonts w:ascii="仿宋_GB2312" w:eastAsia="仿宋_GB2312" w:hint="eastAsia"/>
          <w:sz w:val="32"/>
          <w:szCs w:val="32"/>
        </w:rPr>
        <w:t>飘窗：</w:t>
      </w:r>
      <w:proofErr w:type="gramStart"/>
      <w:r w:rsidRPr="00A14AF8">
        <w:rPr>
          <w:rFonts w:ascii="仿宋_GB2312" w:eastAsia="仿宋_GB2312" w:hint="eastAsia"/>
          <w:sz w:val="32"/>
          <w:szCs w:val="32"/>
        </w:rPr>
        <w:t>外挑尺寸</w:t>
      </w:r>
      <w:proofErr w:type="gramEnd"/>
      <w:r w:rsidRPr="00A14AF8">
        <w:rPr>
          <w:rFonts w:ascii="仿宋_GB2312" w:eastAsia="仿宋_GB2312" w:hint="eastAsia"/>
          <w:sz w:val="32"/>
          <w:szCs w:val="32"/>
        </w:rPr>
        <w:t>小于等于0.8米，不计入建筑面积、容积率</w:t>
      </w:r>
      <w:r>
        <w:rPr>
          <w:rFonts w:ascii="仿宋_GB2312" w:eastAsia="仿宋_GB2312" w:hint="eastAsia"/>
          <w:sz w:val="32"/>
          <w:szCs w:val="32"/>
        </w:rPr>
        <w:t>（飘窗外不得设阳台、露台）</w:t>
      </w:r>
      <w:r w:rsidRPr="00A14AF8">
        <w:rPr>
          <w:rFonts w:ascii="仿宋_GB2312" w:eastAsia="仿宋_GB2312" w:hint="eastAsia"/>
          <w:sz w:val="32"/>
          <w:szCs w:val="32"/>
        </w:rPr>
        <w:t>。</w:t>
      </w:r>
    </w:p>
    <w:p w14:paraId="3EB07A6C" w14:textId="77777777" w:rsidR="006E5EFF" w:rsidRDefault="006E5EFF" w:rsidP="006E5EFF">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封闭式阳台：</w:t>
      </w:r>
      <w:proofErr w:type="gramStart"/>
      <w:r w:rsidRPr="00DA29DE">
        <w:rPr>
          <w:rFonts w:ascii="仿宋_GB2312" w:eastAsia="仿宋_GB2312" w:hint="eastAsia"/>
          <w:sz w:val="32"/>
          <w:szCs w:val="32"/>
        </w:rPr>
        <w:t>外挑尺寸</w:t>
      </w:r>
      <w:proofErr w:type="gramEnd"/>
      <w:r w:rsidRPr="00DA29DE">
        <w:rPr>
          <w:rFonts w:ascii="仿宋_GB2312" w:eastAsia="仿宋_GB2312" w:hint="eastAsia"/>
          <w:sz w:val="32"/>
          <w:szCs w:val="32"/>
        </w:rPr>
        <w:t>小于等于1.8米，可</w:t>
      </w:r>
      <w:proofErr w:type="gramStart"/>
      <w:r w:rsidRPr="00DA29DE">
        <w:rPr>
          <w:rFonts w:ascii="仿宋_GB2312" w:eastAsia="仿宋_GB2312" w:hint="eastAsia"/>
          <w:sz w:val="32"/>
          <w:szCs w:val="32"/>
        </w:rPr>
        <w:t>计一半</w:t>
      </w:r>
      <w:proofErr w:type="gramEnd"/>
      <w:r w:rsidRPr="00DA29DE">
        <w:rPr>
          <w:rFonts w:ascii="仿宋_GB2312" w:eastAsia="仿宋_GB2312" w:hint="eastAsia"/>
          <w:sz w:val="32"/>
          <w:szCs w:val="32"/>
        </w:rPr>
        <w:t>建筑面积、容积率。</w:t>
      </w:r>
    </w:p>
    <w:p w14:paraId="13554D5D" w14:textId="77777777" w:rsidR="006E5EFF" w:rsidRDefault="006E5EFF" w:rsidP="006E5EFF">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设备阳台：在北侧设置，面积小于等于4平方米，不计入建筑面积、容积率（须统一封闭）。</w:t>
      </w:r>
    </w:p>
    <w:p w14:paraId="4A85B13E" w14:textId="77777777" w:rsidR="006E5EFF" w:rsidRPr="00DA29DE" w:rsidRDefault="006E5EFF" w:rsidP="006E5EFF">
      <w:pPr>
        <w:pStyle w:val="a7"/>
        <w:numPr>
          <w:ilvl w:val="0"/>
          <w:numId w:val="10"/>
        </w:numPr>
        <w:spacing w:line="520" w:lineRule="exact"/>
        <w:ind w:left="641" w:firstLineChars="0" w:firstLine="0"/>
        <w:rPr>
          <w:rFonts w:ascii="仿宋_GB2312" w:eastAsia="仿宋_GB2312"/>
          <w:sz w:val="32"/>
          <w:szCs w:val="32"/>
        </w:rPr>
      </w:pPr>
      <w:r w:rsidRPr="00DA29DE">
        <w:rPr>
          <w:rFonts w:ascii="仿宋_GB2312" w:eastAsia="仿宋_GB2312" w:hint="eastAsia"/>
          <w:sz w:val="32"/>
          <w:szCs w:val="32"/>
        </w:rPr>
        <w:t>露台（非北侧）：</w:t>
      </w:r>
      <w:proofErr w:type="gramStart"/>
      <w:r w:rsidRPr="00DA29DE">
        <w:rPr>
          <w:rFonts w:ascii="仿宋_GB2312" w:eastAsia="仿宋_GB2312" w:hint="eastAsia"/>
          <w:sz w:val="32"/>
          <w:szCs w:val="32"/>
        </w:rPr>
        <w:t>外挑尺寸</w:t>
      </w:r>
      <w:proofErr w:type="gramEnd"/>
      <w:r w:rsidRPr="00DA29DE">
        <w:rPr>
          <w:rFonts w:ascii="仿宋_GB2312" w:eastAsia="仿宋_GB2312" w:hint="eastAsia"/>
          <w:sz w:val="32"/>
          <w:szCs w:val="32"/>
        </w:rPr>
        <w:t>小于等于3.6米，上下相邻高度不小于5.6m，不计入建筑面积、容积率（奇偶层露台水平投影不应重叠）。此外，露台应结合结构</w:t>
      </w:r>
      <w:r w:rsidRPr="00DA29DE">
        <w:rPr>
          <w:rFonts w:ascii="仿宋_GB2312" w:eastAsia="仿宋_GB2312" w:hint="eastAsia"/>
          <w:sz w:val="32"/>
          <w:szCs w:val="32"/>
        </w:rPr>
        <w:lastRenderedPageBreak/>
        <w:t>安全、景观风貌、日照通风、视线隐私等进行科学设计，露台后期不允许封闭。</w:t>
      </w:r>
    </w:p>
    <w:p w14:paraId="05ED63CE" w14:textId="77777777" w:rsidR="006E5EFF" w:rsidRDefault="006E5EFF" w:rsidP="006E5EFF">
      <w:pPr>
        <w:pStyle w:val="a7"/>
        <w:spacing w:line="520" w:lineRule="exact"/>
        <w:ind w:left="641" w:firstLine="640"/>
        <w:rPr>
          <w:rFonts w:ascii="仿宋_GB2312" w:eastAsia="仿宋_GB2312"/>
          <w:sz w:val="32"/>
          <w:szCs w:val="32"/>
        </w:rPr>
      </w:pPr>
      <w:r w:rsidRPr="001D6551">
        <w:rPr>
          <w:rFonts w:ascii="仿宋_GB2312" w:eastAsia="仿宋_GB2312" w:hint="eastAsia"/>
          <w:sz w:val="32"/>
          <w:szCs w:val="32"/>
        </w:rPr>
        <w:t>注：露台应悬挑在建筑主体结构外，四周应有不少于</w:t>
      </w:r>
      <w:r w:rsidRPr="001D6551">
        <w:rPr>
          <w:rFonts w:ascii="仿宋_GB2312" w:eastAsia="仿宋_GB2312"/>
          <w:sz w:val="32"/>
          <w:szCs w:val="32"/>
        </w:rPr>
        <w:t>2个完整的开敞面(或开敞面不少于周长的40%)，且至少有1个完整的长边为开敞面。开敞面不得设置围护墙体、结构柱等，仅可设置栏杆(栏板)，便于直接采光通风。位于建筑凹槽内的，</w:t>
      </w:r>
      <w:proofErr w:type="gramStart"/>
      <w:r w:rsidRPr="001D6551">
        <w:rPr>
          <w:rFonts w:ascii="仿宋_GB2312" w:eastAsia="仿宋_GB2312"/>
          <w:sz w:val="32"/>
          <w:szCs w:val="32"/>
        </w:rPr>
        <w:t>不</w:t>
      </w:r>
      <w:proofErr w:type="gramEnd"/>
      <w:r w:rsidRPr="001D6551">
        <w:rPr>
          <w:rFonts w:ascii="仿宋_GB2312" w:eastAsia="仿宋_GB2312"/>
          <w:sz w:val="32"/>
          <w:szCs w:val="32"/>
        </w:rPr>
        <w:t>视为开敞面。</w:t>
      </w:r>
    </w:p>
    <w:p w14:paraId="7F1A85DD" w14:textId="77777777" w:rsidR="006E5EFF" w:rsidRPr="001D6551" w:rsidRDefault="006E5EFF" w:rsidP="006E5EFF">
      <w:pPr>
        <w:pStyle w:val="a7"/>
        <w:numPr>
          <w:ilvl w:val="0"/>
          <w:numId w:val="10"/>
        </w:numPr>
        <w:spacing w:line="520" w:lineRule="exact"/>
        <w:ind w:left="641" w:firstLineChars="0" w:firstLine="0"/>
        <w:rPr>
          <w:rFonts w:ascii="仿宋_GB2312" w:eastAsia="仿宋_GB2312"/>
          <w:sz w:val="32"/>
          <w:szCs w:val="32"/>
        </w:rPr>
      </w:pPr>
      <w:r>
        <w:rPr>
          <w:rFonts w:ascii="仿宋_GB2312" w:eastAsia="仿宋_GB2312" w:hint="eastAsia"/>
          <w:sz w:val="32"/>
          <w:szCs w:val="32"/>
        </w:rPr>
        <w:t>建筑节能设计条件应满足《建筑节能与可再生能源利用通用规范》GB55015-2021要求。供热设施应满足挑空空间、阳台、</w:t>
      </w:r>
      <w:proofErr w:type="gramStart"/>
      <w:r>
        <w:rPr>
          <w:rFonts w:ascii="仿宋_GB2312" w:eastAsia="仿宋_GB2312" w:hint="eastAsia"/>
          <w:sz w:val="32"/>
          <w:szCs w:val="32"/>
        </w:rPr>
        <w:t>凸</w:t>
      </w:r>
      <w:proofErr w:type="gramEnd"/>
      <w:r>
        <w:rPr>
          <w:rFonts w:ascii="仿宋_GB2312" w:eastAsia="仿宋_GB2312" w:hint="eastAsia"/>
          <w:sz w:val="32"/>
          <w:szCs w:val="32"/>
        </w:rPr>
        <w:t>（飘）窗、地下室供热要求，并且安装供热设施（解释权归</w:t>
      </w:r>
      <w:proofErr w:type="gramStart"/>
      <w:r>
        <w:rPr>
          <w:rFonts w:ascii="仿宋_GB2312" w:eastAsia="仿宋_GB2312" w:hint="eastAsia"/>
          <w:sz w:val="32"/>
          <w:szCs w:val="32"/>
        </w:rPr>
        <w:t>新区住</w:t>
      </w:r>
      <w:proofErr w:type="gramEnd"/>
      <w:r>
        <w:rPr>
          <w:rFonts w:ascii="仿宋_GB2312" w:eastAsia="仿宋_GB2312" w:hint="eastAsia"/>
          <w:sz w:val="32"/>
          <w:szCs w:val="32"/>
        </w:rPr>
        <w:t>建局所有）。</w:t>
      </w:r>
    </w:p>
    <w:p w14:paraId="378E59AF" w14:textId="29581B8E" w:rsidR="006E5EFF" w:rsidRPr="006E5EFF" w:rsidRDefault="006E5EFF" w:rsidP="006E5EFF">
      <w:pPr>
        <w:ind w:firstLineChars="200" w:firstLine="643"/>
        <w:rPr>
          <w:rFonts w:ascii="楷体_GB2312" w:eastAsia="楷体_GB2312"/>
          <w:b/>
          <w:bCs/>
          <w:sz w:val="32"/>
          <w:szCs w:val="32"/>
        </w:rPr>
      </w:pPr>
      <w:bookmarkStart w:id="0" w:name="_Hlk175822744"/>
      <w:r w:rsidRPr="00A14AF8">
        <w:rPr>
          <w:rFonts w:ascii="楷体_GB2312" w:eastAsia="楷体_GB2312" w:hint="eastAsia"/>
          <w:b/>
          <w:bCs/>
          <w:sz w:val="32"/>
          <w:szCs w:val="32"/>
        </w:rPr>
        <w:t>（</w:t>
      </w:r>
      <w:r>
        <w:rPr>
          <w:rFonts w:ascii="楷体_GB2312" w:eastAsia="楷体_GB2312" w:hint="eastAsia"/>
          <w:b/>
          <w:bCs/>
          <w:sz w:val="32"/>
          <w:szCs w:val="32"/>
        </w:rPr>
        <w:t>一</w:t>
      </w:r>
      <w:r w:rsidRPr="00A14AF8">
        <w:rPr>
          <w:rFonts w:ascii="楷体_GB2312" w:eastAsia="楷体_GB2312" w:hint="eastAsia"/>
          <w:b/>
          <w:bCs/>
          <w:sz w:val="32"/>
          <w:szCs w:val="32"/>
        </w:rPr>
        <w:t>）</w:t>
      </w:r>
      <w:r w:rsidRPr="006E5EFF">
        <w:rPr>
          <w:rFonts w:ascii="楷体_GB2312" w:eastAsia="楷体_GB2312" w:hint="eastAsia"/>
          <w:b/>
          <w:bCs/>
          <w:sz w:val="32"/>
          <w:szCs w:val="32"/>
        </w:rPr>
        <w:t>规划管理要求——</w:t>
      </w:r>
      <w:r w:rsidRPr="00A14AF8">
        <w:rPr>
          <w:rFonts w:ascii="楷体_GB2312" w:eastAsia="楷体_GB2312" w:hint="eastAsia"/>
          <w:b/>
          <w:bCs/>
          <w:sz w:val="32"/>
          <w:szCs w:val="32"/>
        </w:rPr>
        <w:t>相关计算标准</w:t>
      </w:r>
    </w:p>
    <w:bookmarkEnd w:id="0"/>
    <w:p w14:paraId="6B1365B7"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Pr="00B242D5">
        <w:rPr>
          <w:rFonts w:ascii="仿宋_GB2312" w:eastAsia="仿宋_GB2312" w:hint="eastAsia"/>
          <w:sz w:val="32"/>
          <w:szCs w:val="32"/>
        </w:rPr>
        <w:t>建筑密度：按首层建筑物基底面积标准进行计算（不含出挑部分）</w:t>
      </w:r>
      <w:r>
        <w:rPr>
          <w:rFonts w:ascii="仿宋_GB2312" w:eastAsia="仿宋_GB2312" w:hint="eastAsia"/>
          <w:sz w:val="32"/>
          <w:szCs w:val="32"/>
        </w:rPr>
        <w:t>。</w:t>
      </w:r>
    </w:p>
    <w:p w14:paraId="623200D5"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Pr="00B242D5">
        <w:rPr>
          <w:rFonts w:ascii="仿宋_GB2312" w:eastAsia="仿宋_GB2312" w:hint="eastAsia"/>
          <w:sz w:val="32"/>
          <w:szCs w:val="32"/>
        </w:rPr>
        <w:t>日照</w:t>
      </w:r>
      <w:r>
        <w:rPr>
          <w:rFonts w:ascii="仿宋_GB2312" w:eastAsia="仿宋_GB2312" w:hint="eastAsia"/>
          <w:sz w:val="32"/>
          <w:szCs w:val="32"/>
        </w:rPr>
        <w:t>要求</w:t>
      </w:r>
    </w:p>
    <w:p w14:paraId="3356E630" w14:textId="77777777" w:rsidR="006E5EFF" w:rsidRDefault="006E5EFF" w:rsidP="006E5EFF">
      <w:pPr>
        <w:pStyle w:val="a7"/>
        <w:numPr>
          <w:ilvl w:val="0"/>
          <w:numId w:val="11"/>
        </w:numPr>
        <w:spacing w:line="520" w:lineRule="exact"/>
        <w:ind w:left="641" w:firstLineChars="0" w:firstLine="0"/>
        <w:rPr>
          <w:rFonts w:ascii="仿宋_GB2312" w:eastAsia="仿宋_GB2312"/>
          <w:sz w:val="32"/>
          <w:szCs w:val="32"/>
        </w:rPr>
      </w:pPr>
      <w:r>
        <w:rPr>
          <w:rFonts w:ascii="仿宋_GB2312" w:eastAsia="仿宋_GB2312" w:hint="eastAsia"/>
          <w:sz w:val="32"/>
          <w:szCs w:val="32"/>
        </w:rPr>
        <w:t>居住项目在进行日照测算时，宽度小于等于1.80米的窗户，按照实际宽度计算，宽度大于1.80米的窗户，可选取日照有利的1.80米连续宽度进行计算。</w:t>
      </w:r>
    </w:p>
    <w:p w14:paraId="27C98E1D" w14:textId="77777777" w:rsidR="006E5EFF" w:rsidRPr="006371D9" w:rsidRDefault="006E5EFF" w:rsidP="006E5EFF">
      <w:pPr>
        <w:pStyle w:val="a7"/>
        <w:numPr>
          <w:ilvl w:val="0"/>
          <w:numId w:val="11"/>
        </w:numPr>
        <w:spacing w:line="520" w:lineRule="exact"/>
        <w:ind w:left="641" w:firstLineChars="0" w:firstLine="0"/>
        <w:rPr>
          <w:rFonts w:ascii="仿宋_GB2312" w:eastAsia="仿宋_GB2312"/>
          <w:sz w:val="32"/>
          <w:szCs w:val="32"/>
        </w:rPr>
      </w:pPr>
      <w:r w:rsidRPr="006371D9">
        <w:rPr>
          <w:rFonts w:ascii="仿宋_GB2312" w:eastAsia="仿宋_GB2312" w:hint="eastAsia"/>
          <w:sz w:val="32"/>
          <w:szCs w:val="32"/>
        </w:rPr>
        <w:t>依据城市更新专项规划划定旧区改建范围，旧区改建项目内新建住宅建筑日照标准不应低于大寒日照时数1小时，涉及</w:t>
      </w:r>
      <w:proofErr w:type="gramStart"/>
      <w:r w:rsidRPr="006371D9">
        <w:rPr>
          <w:rFonts w:ascii="仿宋_GB2312" w:eastAsia="仿宋_GB2312" w:hint="eastAsia"/>
          <w:sz w:val="32"/>
          <w:szCs w:val="32"/>
        </w:rPr>
        <w:t>外挡住宅</w:t>
      </w:r>
      <w:proofErr w:type="gramEnd"/>
      <w:r w:rsidRPr="006371D9">
        <w:rPr>
          <w:rFonts w:ascii="仿宋_GB2312" w:eastAsia="仿宋_GB2312" w:hint="eastAsia"/>
          <w:sz w:val="32"/>
          <w:szCs w:val="32"/>
        </w:rPr>
        <w:t>由政府指定国企进行协商收购，承诺</w:t>
      </w:r>
      <w:r w:rsidRPr="006371D9">
        <w:rPr>
          <w:rFonts w:ascii="仿宋_GB2312" w:eastAsia="仿宋_GB2312" w:hint="eastAsia"/>
          <w:color w:val="000000" w:themeColor="text1"/>
          <w:sz w:val="32"/>
          <w:szCs w:val="32"/>
        </w:rPr>
        <w:t>作为保障性住房并</w:t>
      </w:r>
      <w:r w:rsidRPr="006371D9">
        <w:rPr>
          <w:rFonts w:ascii="仿宋_GB2312" w:eastAsia="仿宋_GB2312" w:hint="eastAsia"/>
          <w:sz w:val="32"/>
          <w:szCs w:val="32"/>
        </w:rPr>
        <w:t>放弃采光权后，可为新建项目办理相关规划手续。</w:t>
      </w:r>
    </w:p>
    <w:p w14:paraId="7A5DBDBB"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Pr="00B242D5">
        <w:rPr>
          <w:rFonts w:ascii="仿宋_GB2312" w:eastAsia="仿宋_GB2312" w:hint="eastAsia"/>
          <w:sz w:val="32"/>
          <w:szCs w:val="32"/>
        </w:rPr>
        <w:t>卫生</w:t>
      </w:r>
      <w:r>
        <w:rPr>
          <w:rFonts w:ascii="仿宋_GB2312" w:eastAsia="仿宋_GB2312" w:hint="eastAsia"/>
          <w:sz w:val="32"/>
          <w:szCs w:val="32"/>
        </w:rPr>
        <w:t>视</w:t>
      </w:r>
      <w:r w:rsidRPr="00B242D5">
        <w:rPr>
          <w:rFonts w:ascii="仿宋_GB2312" w:eastAsia="仿宋_GB2312" w:hint="eastAsia"/>
          <w:sz w:val="32"/>
          <w:szCs w:val="32"/>
        </w:rPr>
        <w:t>距：</w:t>
      </w:r>
      <w:r>
        <w:rPr>
          <w:rFonts w:ascii="仿宋_GB2312" w:eastAsia="仿宋_GB2312" w:hint="eastAsia"/>
          <w:sz w:val="32"/>
          <w:szCs w:val="32"/>
        </w:rPr>
        <w:t>起居（卧）</w:t>
      </w:r>
      <w:proofErr w:type="gramStart"/>
      <w:r>
        <w:rPr>
          <w:rFonts w:ascii="仿宋_GB2312" w:eastAsia="仿宋_GB2312" w:hint="eastAsia"/>
          <w:sz w:val="32"/>
          <w:szCs w:val="32"/>
        </w:rPr>
        <w:t>室窗正</w:t>
      </w:r>
      <w:proofErr w:type="gramEnd"/>
      <w:r>
        <w:rPr>
          <w:rFonts w:ascii="仿宋_GB2312" w:eastAsia="仿宋_GB2312" w:hint="eastAsia"/>
          <w:sz w:val="32"/>
          <w:szCs w:val="32"/>
        </w:rPr>
        <w:t>对间距</w:t>
      </w:r>
      <w:r w:rsidRPr="00B242D5">
        <w:rPr>
          <w:rFonts w:ascii="仿宋_GB2312" w:eastAsia="仿宋_GB2312" w:hint="eastAsia"/>
          <w:sz w:val="32"/>
          <w:szCs w:val="32"/>
        </w:rPr>
        <w:t>应大于等于18m</w:t>
      </w:r>
      <w:r>
        <w:rPr>
          <w:rFonts w:ascii="仿宋_GB2312" w:eastAsia="仿宋_GB2312" w:hint="eastAsia"/>
          <w:sz w:val="32"/>
          <w:szCs w:val="32"/>
        </w:rPr>
        <w:t>。</w:t>
      </w:r>
    </w:p>
    <w:p w14:paraId="7944AEE8"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4.</w:t>
      </w:r>
      <w:r w:rsidRPr="00B242D5">
        <w:rPr>
          <w:rFonts w:ascii="仿宋_GB2312" w:eastAsia="仿宋_GB2312" w:hint="eastAsia"/>
          <w:sz w:val="32"/>
          <w:szCs w:val="32"/>
        </w:rPr>
        <w:t>消防间距：起算点应为露台边缘，满足国家规范要求</w:t>
      </w:r>
      <w:r>
        <w:rPr>
          <w:rFonts w:ascii="仿宋_GB2312" w:eastAsia="仿宋_GB2312" w:hint="eastAsia"/>
          <w:sz w:val="32"/>
          <w:szCs w:val="32"/>
        </w:rPr>
        <w:t>。</w:t>
      </w:r>
    </w:p>
    <w:p w14:paraId="5AF703C6"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5.</w:t>
      </w:r>
      <w:r w:rsidRPr="00B242D5">
        <w:rPr>
          <w:rFonts w:ascii="仿宋_GB2312" w:eastAsia="仿宋_GB2312" w:hint="eastAsia"/>
          <w:sz w:val="32"/>
          <w:szCs w:val="32"/>
        </w:rPr>
        <w:t>建筑退线：从</w:t>
      </w:r>
      <w:proofErr w:type="gramStart"/>
      <w:r w:rsidRPr="00B242D5">
        <w:rPr>
          <w:rFonts w:ascii="仿宋_GB2312" w:eastAsia="仿宋_GB2312" w:hint="eastAsia"/>
          <w:sz w:val="32"/>
          <w:szCs w:val="32"/>
        </w:rPr>
        <w:t>露台外挑宽度</w:t>
      </w:r>
      <w:proofErr w:type="gramEnd"/>
      <w:r w:rsidRPr="00B242D5">
        <w:rPr>
          <w:rFonts w:ascii="仿宋_GB2312" w:eastAsia="仿宋_GB2312" w:hint="eastAsia"/>
          <w:sz w:val="32"/>
          <w:szCs w:val="32"/>
        </w:rPr>
        <w:t>的一半处作为起算</w:t>
      </w:r>
      <w:proofErr w:type="gramStart"/>
      <w:r w:rsidRPr="00B242D5">
        <w:rPr>
          <w:rFonts w:ascii="仿宋_GB2312" w:eastAsia="仿宋_GB2312" w:hint="eastAsia"/>
          <w:sz w:val="32"/>
          <w:szCs w:val="32"/>
        </w:rPr>
        <w:t>点考虑</w:t>
      </w:r>
      <w:proofErr w:type="gramEnd"/>
      <w:r w:rsidRPr="00B242D5">
        <w:rPr>
          <w:rFonts w:ascii="仿宋_GB2312" w:eastAsia="仿宋_GB2312" w:hint="eastAsia"/>
          <w:sz w:val="32"/>
          <w:szCs w:val="32"/>
        </w:rPr>
        <w:lastRenderedPageBreak/>
        <w:t>建筑退线。</w:t>
      </w:r>
    </w:p>
    <w:p w14:paraId="5158A8C2" w14:textId="2702364C" w:rsidR="006E5EFF" w:rsidRPr="006E5EFF" w:rsidRDefault="006E5EFF" w:rsidP="006E5EFF">
      <w:pPr>
        <w:ind w:firstLineChars="200" w:firstLine="643"/>
        <w:rPr>
          <w:rFonts w:ascii="楷体_GB2312" w:eastAsia="楷体_GB2312"/>
          <w:b/>
          <w:bCs/>
          <w:sz w:val="32"/>
          <w:szCs w:val="32"/>
        </w:rPr>
      </w:pPr>
      <w:r w:rsidRPr="006E5EFF">
        <w:rPr>
          <w:rFonts w:ascii="楷体_GB2312" w:eastAsia="楷体_GB2312" w:hint="eastAsia"/>
          <w:b/>
          <w:bCs/>
          <w:sz w:val="32"/>
          <w:szCs w:val="32"/>
        </w:rPr>
        <w:t>（</w:t>
      </w:r>
      <w:r>
        <w:rPr>
          <w:rFonts w:ascii="楷体_GB2312" w:eastAsia="楷体_GB2312" w:hint="eastAsia"/>
          <w:b/>
          <w:bCs/>
          <w:sz w:val="32"/>
          <w:szCs w:val="32"/>
        </w:rPr>
        <w:t>一</w:t>
      </w:r>
      <w:r w:rsidRPr="006E5EFF">
        <w:rPr>
          <w:rFonts w:ascii="楷体_GB2312" w:eastAsia="楷体_GB2312" w:hint="eastAsia"/>
          <w:b/>
          <w:bCs/>
          <w:sz w:val="32"/>
          <w:szCs w:val="32"/>
        </w:rPr>
        <w:t>）规划管理要求——相关计费标准</w:t>
      </w:r>
    </w:p>
    <w:p w14:paraId="514EEE8C" w14:textId="77777777" w:rsidR="006E5EFF" w:rsidRPr="001D6551"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Pr="001D6551">
        <w:rPr>
          <w:rFonts w:ascii="仿宋_GB2312" w:eastAsia="仿宋_GB2312" w:hint="eastAsia"/>
          <w:sz w:val="32"/>
          <w:szCs w:val="32"/>
        </w:rPr>
        <w:t>配套费：按照</w:t>
      </w:r>
      <w:r>
        <w:rPr>
          <w:rFonts w:ascii="仿宋_GB2312" w:eastAsia="仿宋_GB2312" w:hint="eastAsia"/>
          <w:sz w:val="32"/>
          <w:szCs w:val="32"/>
        </w:rPr>
        <w:t>报批方案</w:t>
      </w:r>
      <w:r w:rsidRPr="001D6551">
        <w:rPr>
          <w:rFonts w:ascii="仿宋_GB2312" w:eastAsia="仿宋_GB2312" w:hint="eastAsia"/>
          <w:sz w:val="32"/>
          <w:szCs w:val="32"/>
        </w:rPr>
        <w:t>面积测绘报告的建筑面积（原金州区）及计容面积（原开发区）计算。</w:t>
      </w:r>
    </w:p>
    <w:p w14:paraId="5C22430E" w14:textId="77777777" w:rsidR="006E5EFF" w:rsidRPr="001D6551"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Pr="001D6551">
        <w:rPr>
          <w:rFonts w:ascii="仿宋_GB2312" w:eastAsia="仿宋_GB2312" w:hint="eastAsia"/>
          <w:sz w:val="32"/>
          <w:szCs w:val="32"/>
        </w:rPr>
        <w:t>人防面积：按照</w:t>
      </w:r>
      <w:r>
        <w:rPr>
          <w:rFonts w:ascii="仿宋_GB2312" w:eastAsia="仿宋_GB2312" w:hint="eastAsia"/>
          <w:sz w:val="32"/>
          <w:szCs w:val="32"/>
        </w:rPr>
        <w:t>报批方案</w:t>
      </w:r>
      <w:r w:rsidRPr="001D6551">
        <w:rPr>
          <w:rFonts w:ascii="仿宋_GB2312" w:eastAsia="仿宋_GB2312" w:hint="eastAsia"/>
          <w:sz w:val="32"/>
          <w:szCs w:val="32"/>
        </w:rPr>
        <w:t>面积测绘报告的</w:t>
      </w:r>
      <w:r>
        <w:rPr>
          <w:rFonts w:ascii="仿宋_GB2312" w:eastAsia="仿宋_GB2312" w:hint="eastAsia"/>
          <w:sz w:val="32"/>
          <w:szCs w:val="32"/>
        </w:rPr>
        <w:t>计容</w:t>
      </w:r>
      <w:r w:rsidRPr="001D6551">
        <w:rPr>
          <w:rFonts w:ascii="仿宋_GB2312" w:eastAsia="仿宋_GB2312" w:hint="eastAsia"/>
          <w:sz w:val="32"/>
          <w:szCs w:val="32"/>
        </w:rPr>
        <w:t>建筑面积计算。</w:t>
      </w:r>
    </w:p>
    <w:p w14:paraId="297353E4" w14:textId="77777777" w:rsidR="006E5EFF" w:rsidRPr="001D6551"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Pr="001D6551">
        <w:rPr>
          <w:rFonts w:ascii="仿宋_GB2312" w:eastAsia="仿宋_GB2312" w:hint="eastAsia"/>
          <w:sz w:val="32"/>
          <w:szCs w:val="32"/>
        </w:rPr>
        <w:t>供暖费：</w:t>
      </w:r>
      <w:r w:rsidRPr="00206087">
        <w:rPr>
          <w:rFonts w:ascii="仿宋_GB2312" w:eastAsia="仿宋_GB2312" w:hint="eastAsia"/>
          <w:sz w:val="32"/>
          <w:szCs w:val="32"/>
        </w:rPr>
        <w:t>按照实际采暖面积计算（即产权面积+</w:t>
      </w:r>
      <w:proofErr w:type="gramStart"/>
      <w:r w:rsidRPr="00206087">
        <w:rPr>
          <w:rFonts w:ascii="仿宋_GB2312" w:eastAsia="仿宋_GB2312" w:hint="eastAsia"/>
          <w:sz w:val="32"/>
          <w:szCs w:val="32"/>
        </w:rPr>
        <w:t>一</w:t>
      </w:r>
      <w:proofErr w:type="gramEnd"/>
      <w:r w:rsidRPr="00206087">
        <w:rPr>
          <w:rFonts w:ascii="仿宋_GB2312" w:eastAsia="仿宋_GB2312" w:hint="eastAsia"/>
          <w:sz w:val="32"/>
          <w:szCs w:val="32"/>
        </w:rPr>
        <w:t>半封闭阳台面积，设备阳台不予采暖）。如业主后期擅自增加供暖设施，则由供热单位现场实测核定。</w:t>
      </w:r>
    </w:p>
    <w:p w14:paraId="48662992"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4.</w:t>
      </w:r>
      <w:r w:rsidRPr="001D6551">
        <w:rPr>
          <w:rFonts w:ascii="仿宋_GB2312" w:eastAsia="仿宋_GB2312" w:hint="eastAsia"/>
          <w:sz w:val="32"/>
          <w:szCs w:val="32"/>
        </w:rPr>
        <w:t>物业费：按照</w:t>
      </w:r>
      <w:r>
        <w:rPr>
          <w:rFonts w:ascii="仿宋_GB2312" w:eastAsia="仿宋_GB2312" w:hint="eastAsia"/>
          <w:sz w:val="32"/>
          <w:szCs w:val="32"/>
        </w:rPr>
        <w:t>住宅</w:t>
      </w:r>
      <w:r w:rsidRPr="001D6551">
        <w:rPr>
          <w:rFonts w:ascii="仿宋_GB2312" w:eastAsia="仿宋_GB2312" w:hint="eastAsia"/>
          <w:sz w:val="32"/>
          <w:szCs w:val="32"/>
        </w:rPr>
        <w:t>产权建筑面积计算。</w:t>
      </w:r>
    </w:p>
    <w:p w14:paraId="1255946B" w14:textId="15703C7E" w:rsidR="006E5EFF" w:rsidRPr="006E5EFF" w:rsidRDefault="006E5EFF" w:rsidP="006E5EFF">
      <w:pPr>
        <w:ind w:firstLineChars="200" w:firstLine="643"/>
        <w:rPr>
          <w:rFonts w:ascii="楷体_GB2312" w:eastAsia="楷体_GB2312" w:hint="eastAsia"/>
          <w:b/>
          <w:bCs/>
          <w:sz w:val="32"/>
          <w:szCs w:val="32"/>
        </w:rPr>
      </w:pPr>
      <w:r>
        <w:rPr>
          <w:rFonts w:ascii="楷体_GB2312" w:eastAsia="楷体_GB2312" w:hint="eastAsia"/>
          <w:b/>
          <w:bCs/>
          <w:sz w:val="32"/>
          <w:szCs w:val="32"/>
        </w:rPr>
        <w:t>（</w:t>
      </w:r>
      <w:r w:rsidRPr="006E5EFF">
        <w:rPr>
          <w:rFonts w:ascii="楷体_GB2312" w:eastAsia="楷体_GB2312" w:hint="eastAsia"/>
          <w:b/>
          <w:bCs/>
          <w:sz w:val="32"/>
          <w:szCs w:val="32"/>
        </w:rPr>
        <w:t>二</w:t>
      </w:r>
      <w:r>
        <w:rPr>
          <w:rFonts w:ascii="楷体_GB2312" w:eastAsia="楷体_GB2312" w:hint="eastAsia"/>
          <w:b/>
          <w:bCs/>
          <w:sz w:val="32"/>
          <w:szCs w:val="32"/>
        </w:rPr>
        <w:t>）</w:t>
      </w:r>
      <w:r w:rsidRPr="006E5EFF">
        <w:rPr>
          <w:rFonts w:ascii="楷体_GB2312" w:eastAsia="楷体_GB2312" w:hint="eastAsia"/>
          <w:b/>
          <w:bCs/>
          <w:sz w:val="32"/>
          <w:szCs w:val="32"/>
        </w:rPr>
        <w:t>“补短板”鼓励措施</w:t>
      </w:r>
    </w:p>
    <w:p w14:paraId="782B8032" w14:textId="77777777" w:rsidR="006E5EFF" w:rsidRPr="00506BDC"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1.已供地项目按照上述完整社区建设标准，需“补短板”新</w:t>
      </w:r>
      <w:r>
        <w:rPr>
          <w:rFonts w:ascii="仿宋_GB2312" w:eastAsia="仿宋_GB2312"/>
          <w:sz w:val="32"/>
          <w:szCs w:val="32"/>
        </w:rPr>
        <w:t>增</w:t>
      </w:r>
      <w:r>
        <w:rPr>
          <w:rFonts w:ascii="仿宋_GB2312" w:eastAsia="仿宋_GB2312" w:hint="eastAsia"/>
          <w:sz w:val="32"/>
          <w:szCs w:val="32"/>
        </w:rPr>
        <w:t>配的（0~3岁）托育、老年日料中心、社区卫生服务站等</w:t>
      </w:r>
      <w:r>
        <w:rPr>
          <w:rFonts w:ascii="仿宋_GB2312" w:eastAsia="仿宋_GB2312"/>
          <w:sz w:val="32"/>
          <w:szCs w:val="32"/>
        </w:rPr>
        <w:t>公服设施</w:t>
      </w:r>
      <w:r>
        <w:rPr>
          <w:rFonts w:ascii="仿宋_GB2312" w:eastAsia="仿宋_GB2312" w:hint="eastAsia"/>
          <w:sz w:val="32"/>
          <w:szCs w:val="32"/>
        </w:rPr>
        <w:t>（物业用房除外）</w:t>
      </w:r>
      <w:r>
        <w:rPr>
          <w:rFonts w:ascii="仿宋_GB2312" w:eastAsia="仿宋_GB2312"/>
          <w:sz w:val="32"/>
          <w:szCs w:val="32"/>
        </w:rPr>
        <w:t>建筑面积</w:t>
      </w:r>
      <w:r>
        <w:rPr>
          <w:rFonts w:ascii="仿宋_GB2312" w:eastAsia="仿宋_GB2312" w:hint="eastAsia"/>
          <w:sz w:val="32"/>
          <w:szCs w:val="32"/>
        </w:rPr>
        <w:t>可</w:t>
      </w:r>
      <w:r>
        <w:rPr>
          <w:rFonts w:ascii="仿宋_GB2312" w:eastAsia="仿宋_GB2312"/>
          <w:sz w:val="32"/>
          <w:szCs w:val="32"/>
        </w:rPr>
        <w:t>不计</w:t>
      </w:r>
      <w:proofErr w:type="gramStart"/>
      <w:r>
        <w:rPr>
          <w:rFonts w:ascii="仿宋_GB2312" w:eastAsia="仿宋_GB2312"/>
          <w:sz w:val="32"/>
          <w:szCs w:val="32"/>
        </w:rPr>
        <w:t>入</w:t>
      </w:r>
      <w:r>
        <w:rPr>
          <w:rFonts w:ascii="仿宋_GB2312" w:eastAsia="仿宋_GB2312" w:hint="eastAsia"/>
          <w:sz w:val="32"/>
          <w:szCs w:val="32"/>
        </w:rPr>
        <w:t>规划</w:t>
      </w:r>
      <w:proofErr w:type="gramEnd"/>
      <w:r>
        <w:rPr>
          <w:rFonts w:ascii="仿宋_GB2312" w:eastAsia="仿宋_GB2312" w:hint="eastAsia"/>
          <w:sz w:val="32"/>
          <w:szCs w:val="32"/>
        </w:rPr>
        <w:t>条件</w:t>
      </w:r>
      <w:r>
        <w:rPr>
          <w:rFonts w:ascii="仿宋_GB2312" w:eastAsia="仿宋_GB2312"/>
          <w:sz w:val="32"/>
          <w:szCs w:val="32"/>
        </w:rPr>
        <w:t>约定</w:t>
      </w:r>
      <w:r>
        <w:rPr>
          <w:rFonts w:ascii="仿宋_GB2312" w:eastAsia="仿宋_GB2312" w:hint="eastAsia"/>
          <w:sz w:val="32"/>
          <w:szCs w:val="32"/>
        </w:rPr>
        <w:t>的</w:t>
      </w:r>
      <w:r>
        <w:rPr>
          <w:rFonts w:ascii="仿宋_GB2312" w:eastAsia="仿宋_GB2312"/>
          <w:sz w:val="32"/>
          <w:szCs w:val="32"/>
        </w:rPr>
        <w:t>容积率</w:t>
      </w:r>
      <w:r>
        <w:rPr>
          <w:rFonts w:ascii="仿宋_GB2312" w:eastAsia="仿宋_GB2312" w:hint="eastAsia"/>
          <w:sz w:val="32"/>
          <w:szCs w:val="32"/>
        </w:rPr>
        <w:t>，该部分</w:t>
      </w:r>
      <w:r>
        <w:rPr>
          <w:rFonts w:ascii="仿宋_GB2312" w:eastAsia="仿宋_GB2312"/>
          <w:sz w:val="32"/>
          <w:szCs w:val="32"/>
        </w:rPr>
        <w:t>公</w:t>
      </w:r>
      <w:proofErr w:type="gramStart"/>
      <w:r>
        <w:rPr>
          <w:rFonts w:ascii="仿宋_GB2312" w:eastAsia="仿宋_GB2312"/>
          <w:sz w:val="32"/>
          <w:szCs w:val="32"/>
        </w:rPr>
        <w:t>服设施</w:t>
      </w:r>
      <w:proofErr w:type="gramEnd"/>
      <w:r>
        <w:rPr>
          <w:rFonts w:ascii="仿宋_GB2312" w:eastAsia="仿宋_GB2312" w:hint="eastAsia"/>
          <w:sz w:val="32"/>
          <w:szCs w:val="32"/>
        </w:rPr>
        <w:t>建成后一并移交，由相关行业主管部门统一管理</w:t>
      </w:r>
      <w:r w:rsidRPr="00506BDC">
        <w:rPr>
          <w:rFonts w:ascii="仿宋_GB2312" w:eastAsia="仿宋_GB2312" w:hint="eastAsia"/>
          <w:sz w:val="32"/>
          <w:szCs w:val="32"/>
        </w:rPr>
        <w:t>（</w:t>
      </w:r>
      <w:r w:rsidRPr="00DB3A63">
        <w:rPr>
          <w:rFonts w:ascii="仿宋_GB2312" w:eastAsia="仿宋_GB2312" w:hint="eastAsia"/>
          <w:sz w:val="32"/>
          <w:szCs w:val="32"/>
        </w:rPr>
        <w:t>增配公</w:t>
      </w:r>
      <w:proofErr w:type="gramStart"/>
      <w:r w:rsidRPr="00DB3A63">
        <w:rPr>
          <w:rFonts w:ascii="仿宋_GB2312" w:eastAsia="仿宋_GB2312" w:hint="eastAsia"/>
          <w:sz w:val="32"/>
          <w:szCs w:val="32"/>
        </w:rPr>
        <w:t>服设施</w:t>
      </w:r>
      <w:proofErr w:type="gramEnd"/>
      <w:r w:rsidRPr="00DB3A63">
        <w:rPr>
          <w:rFonts w:ascii="仿宋_GB2312" w:eastAsia="仿宋_GB2312" w:hint="eastAsia"/>
          <w:sz w:val="32"/>
          <w:szCs w:val="32"/>
        </w:rPr>
        <w:t>如涉及返还土地出让金事宜，可在后期指标细化及补缴地库出让金时予以抵扣，原则上不予返还</w:t>
      </w:r>
      <w:r w:rsidRPr="00506BDC">
        <w:rPr>
          <w:rFonts w:ascii="仿宋_GB2312" w:eastAsia="仿宋_GB2312" w:hint="eastAsia"/>
          <w:sz w:val="32"/>
          <w:szCs w:val="32"/>
        </w:rPr>
        <w:t>）。</w:t>
      </w:r>
    </w:p>
    <w:p w14:paraId="37E1E843"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2.新建项目</w:t>
      </w:r>
      <w:r>
        <w:rPr>
          <w:rFonts w:ascii="仿宋_GB2312" w:eastAsia="仿宋_GB2312"/>
          <w:sz w:val="32"/>
          <w:szCs w:val="32"/>
        </w:rPr>
        <w:t>配建的</w:t>
      </w:r>
      <w:r>
        <w:rPr>
          <w:rFonts w:ascii="仿宋_GB2312" w:eastAsia="仿宋_GB2312" w:hint="eastAsia"/>
          <w:sz w:val="32"/>
          <w:szCs w:val="32"/>
        </w:rPr>
        <w:t>建筑屋顶楼梯（电梯）机房、水箱间、排烟机房、新风机房、通信基站机房等，地上及地下配建消防水池、消防泵房、变（配）电室、变电所、开关站、换热站等</w:t>
      </w:r>
      <w:r>
        <w:rPr>
          <w:rFonts w:ascii="仿宋_GB2312" w:eastAsia="仿宋_GB2312"/>
          <w:sz w:val="32"/>
          <w:szCs w:val="32"/>
        </w:rPr>
        <w:t>设备用房</w:t>
      </w:r>
      <w:r>
        <w:rPr>
          <w:rFonts w:ascii="仿宋_GB2312" w:eastAsia="仿宋_GB2312" w:hint="eastAsia"/>
          <w:sz w:val="32"/>
          <w:szCs w:val="32"/>
        </w:rPr>
        <w:t>，避难</w:t>
      </w:r>
      <w:r w:rsidRPr="00CE36F1">
        <w:rPr>
          <w:rFonts w:ascii="仿宋_GB2312" w:eastAsia="仿宋_GB2312" w:hint="eastAsia"/>
          <w:sz w:val="32"/>
          <w:szCs w:val="32"/>
        </w:rPr>
        <w:t>层的避难空间及地上车库</w:t>
      </w:r>
      <w:r w:rsidRPr="00CE36F1">
        <w:rPr>
          <w:rFonts w:ascii="仿宋_GB2312" w:eastAsia="仿宋_GB2312"/>
          <w:sz w:val="32"/>
          <w:szCs w:val="32"/>
        </w:rPr>
        <w:t>，均</w:t>
      </w:r>
      <w:r w:rsidRPr="00CE36F1">
        <w:rPr>
          <w:rFonts w:ascii="仿宋_GB2312" w:eastAsia="仿宋_GB2312" w:hint="eastAsia"/>
          <w:sz w:val="32"/>
          <w:szCs w:val="32"/>
        </w:rPr>
        <w:t>可</w:t>
      </w:r>
      <w:r w:rsidRPr="00CE36F1">
        <w:rPr>
          <w:rFonts w:ascii="仿宋_GB2312" w:eastAsia="仿宋_GB2312"/>
          <w:sz w:val="32"/>
          <w:szCs w:val="32"/>
        </w:rPr>
        <w:t>不</w:t>
      </w:r>
      <w:r w:rsidRPr="00CE36F1">
        <w:rPr>
          <w:rFonts w:ascii="仿宋_GB2312" w:eastAsia="仿宋_GB2312" w:hint="eastAsia"/>
          <w:sz w:val="32"/>
          <w:szCs w:val="32"/>
        </w:rPr>
        <w:t>计</w:t>
      </w:r>
      <w:proofErr w:type="gramStart"/>
      <w:r w:rsidRPr="00CE36F1">
        <w:rPr>
          <w:rFonts w:ascii="仿宋_GB2312" w:eastAsia="仿宋_GB2312" w:hint="eastAsia"/>
          <w:sz w:val="32"/>
          <w:szCs w:val="32"/>
        </w:rPr>
        <w:t>入规划</w:t>
      </w:r>
      <w:proofErr w:type="gramEnd"/>
      <w:r w:rsidRPr="00CE36F1">
        <w:rPr>
          <w:rFonts w:ascii="仿宋_GB2312" w:eastAsia="仿宋_GB2312" w:hint="eastAsia"/>
          <w:sz w:val="32"/>
          <w:szCs w:val="32"/>
        </w:rPr>
        <w:t>条件约定的</w:t>
      </w:r>
      <w:r w:rsidRPr="00CE36F1">
        <w:rPr>
          <w:rFonts w:ascii="仿宋_GB2312" w:eastAsia="仿宋_GB2312"/>
          <w:sz w:val="32"/>
          <w:szCs w:val="32"/>
        </w:rPr>
        <w:t>容积率</w:t>
      </w:r>
      <w:r w:rsidRPr="00CE36F1">
        <w:rPr>
          <w:rFonts w:ascii="仿宋_GB2312" w:eastAsia="仿宋_GB2312" w:hint="eastAsia"/>
          <w:sz w:val="32"/>
          <w:szCs w:val="32"/>
        </w:rPr>
        <w:t>，位于建筑屋顶的相关配建用房，总面积不得超过屋顶面积的25%。上述面积不计入产权登记，建成后由物业公司及相关行业主管部门加强管理，</w:t>
      </w:r>
      <w:r>
        <w:rPr>
          <w:rFonts w:ascii="仿宋_GB2312" w:eastAsia="仿宋_GB2312" w:hint="eastAsia"/>
          <w:sz w:val="32"/>
          <w:szCs w:val="32"/>
        </w:rPr>
        <w:t>满足使用需求。上述计容方式改变所衍生的补缴地价事宜，由土地部</w:t>
      </w:r>
      <w:r>
        <w:rPr>
          <w:rFonts w:ascii="仿宋_GB2312" w:eastAsia="仿宋_GB2312" w:hint="eastAsia"/>
          <w:sz w:val="32"/>
          <w:szCs w:val="32"/>
        </w:rPr>
        <w:lastRenderedPageBreak/>
        <w:t>门后期根据项目规划指标细化后的实际情况重新测算。</w:t>
      </w:r>
    </w:p>
    <w:p w14:paraId="709833F8"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通过以上</w:t>
      </w:r>
      <w:r w:rsidRPr="008C650D">
        <w:rPr>
          <w:rFonts w:ascii="仿宋_GB2312" w:eastAsia="仿宋_GB2312" w:hint="eastAsia"/>
          <w:sz w:val="32"/>
          <w:szCs w:val="32"/>
        </w:rPr>
        <w:t>建筑设计多样性空间增值利用规划管理</w:t>
      </w:r>
      <w:r>
        <w:rPr>
          <w:rFonts w:ascii="仿宋_GB2312" w:eastAsia="仿宋_GB2312" w:hint="eastAsia"/>
          <w:sz w:val="32"/>
          <w:szCs w:val="32"/>
        </w:rPr>
        <w:t>政策，鼓励引导开发单位主动降低容积率，从而提高产品品质，缓解去库存压力。</w:t>
      </w:r>
    </w:p>
    <w:p w14:paraId="1A0EA4EF" w14:textId="457BE63D" w:rsidR="006E5EFF" w:rsidRPr="006E5EFF" w:rsidRDefault="006E5EFF" w:rsidP="006E5EFF">
      <w:pPr>
        <w:ind w:firstLineChars="200" w:firstLine="643"/>
        <w:rPr>
          <w:rFonts w:ascii="楷体_GB2312" w:eastAsia="楷体_GB2312" w:hint="eastAsia"/>
          <w:b/>
          <w:bCs/>
          <w:sz w:val="32"/>
          <w:szCs w:val="32"/>
        </w:rPr>
      </w:pPr>
      <w:r>
        <w:rPr>
          <w:rFonts w:ascii="楷体_GB2312" w:eastAsia="楷体_GB2312" w:hint="eastAsia"/>
          <w:b/>
          <w:bCs/>
          <w:sz w:val="32"/>
          <w:szCs w:val="32"/>
        </w:rPr>
        <w:t>（</w:t>
      </w:r>
      <w:r w:rsidRPr="006E5EFF">
        <w:rPr>
          <w:rFonts w:ascii="楷体_GB2312" w:eastAsia="楷体_GB2312" w:hint="eastAsia"/>
          <w:b/>
          <w:bCs/>
          <w:sz w:val="32"/>
          <w:szCs w:val="32"/>
        </w:rPr>
        <w:t>三</w:t>
      </w:r>
      <w:r>
        <w:rPr>
          <w:rFonts w:ascii="楷体_GB2312" w:eastAsia="楷体_GB2312" w:hint="eastAsia"/>
          <w:b/>
          <w:bCs/>
          <w:sz w:val="32"/>
          <w:szCs w:val="32"/>
        </w:rPr>
        <w:t>）</w:t>
      </w:r>
      <w:r w:rsidRPr="006E5EFF">
        <w:rPr>
          <w:rFonts w:ascii="楷体_GB2312" w:eastAsia="楷体_GB2312" w:hint="eastAsia"/>
          <w:b/>
          <w:bCs/>
          <w:sz w:val="32"/>
          <w:szCs w:val="32"/>
        </w:rPr>
        <w:t>审批手续办理</w:t>
      </w:r>
    </w:p>
    <w:p w14:paraId="3EDA37C5"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建设单位按本</w:t>
      </w:r>
      <w:r w:rsidRPr="00CE36F1">
        <w:rPr>
          <w:rFonts w:ascii="仿宋_GB2312" w:eastAsia="仿宋_GB2312" w:hint="eastAsia"/>
          <w:sz w:val="32"/>
          <w:szCs w:val="32"/>
        </w:rPr>
        <w:t>规定设计的项目,在办理建设工程规划许可证,相应建筑面积应在建设工程设计方案总平面图中综合技术经济指标表和建筑面积明细表中予以明确，同时对不纳入规划条件约定的容积率计算相关事宜，予以备注说明（详见附件）。</w:t>
      </w:r>
    </w:p>
    <w:p w14:paraId="549A5D54" w14:textId="77777777" w:rsidR="006E5EFF" w:rsidRPr="00CE36F1" w:rsidRDefault="006E5EFF" w:rsidP="006E5EFF">
      <w:pPr>
        <w:spacing w:line="520" w:lineRule="exact"/>
        <w:ind w:firstLineChars="200" w:firstLine="640"/>
        <w:rPr>
          <w:rFonts w:ascii="仿宋_GB2312" w:eastAsia="仿宋_GB2312"/>
          <w:sz w:val="32"/>
          <w:szCs w:val="32"/>
        </w:rPr>
      </w:pPr>
      <w:r w:rsidRPr="0077279B">
        <w:rPr>
          <w:rFonts w:ascii="仿宋_GB2312" w:eastAsia="仿宋_GB2312" w:hint="eastAsia"/>
          <w:sz w:val="32"/>
          <w:szCs w:val="32"/>
        </w:rPr>
        <w:t>住宅建筑的地下室仓库等相关增值利用空间，属于专有部分特定空间，不计入容积率，在补缴地价后可参照地下车库产权办理方式，单独办理产权。</w:t>
      </w:r>
    </w:p>
    <w:p w14:paraId="40FB3469" w14:textId="2B097C71" w:rsidR="006E5EFF" w:rsidRPr="006E5EFF" w:rsidRDefault="006E5EFF" w:rsidP="006E5EFF">
      <w:pPr>
        <w:ind w:firstLineChars="200" w:firstLine="643"/>
        <w:rPr>
          <w:rFonts w:ascii="楷体_GB2312" w:eastAsia="楷体_GB2312" w:hint="eastAsia"/>
          <w:b/>
          <w:bCs/>
          <w:sz w:val="32"/>
          <w:szCs w:val="32"/>
        </w:rPr>
      </w:pPr>
      <w:r>
        <w:rPr>
          <w:rFonts w:ascii="楷体_GB2312" w:eastAsia="楷体_GB2312" w:hint="eastAsia"/>
          <w:b/>
          <w:bCs/>
          <w:sz w:val="32"/>
          <w:szCs w:val="32"/>
        </w:rPr>
        <w:t>（</w:t>
      </w:r>
      <w:r w:rsidRPr="006E5EFF">
        <w:rPr>
          <w:rFonts w:ascii="楷体_GB2312" w:eastAsia="楷体_GB2312" w:hint="eastAsia"/>
          <w:b/>
          <w:bCs/>
          <w:sz w:val="32"/>
          <w:szCs w:val="32"/>
        </w:rPr>
        <w:t>四</w:t>
      </w:r>
      <w:r>
        <w:rPr>
          <w:rFonts w:ascii="楷体_GB2312" w:eastAsia="楷体_GB2312" w:hint="eastAsia"/>
          <w:b/>
          <w:bCs/>
          <w:sz w:val="32"/>
          <w:szCs w:val="32"/>
        </w:rPr>
        <w:t>）</w:t>
      </w:r>
      <w:r w:rsidRPr="006E5EFF">
        <w:rPr>
          <w:rFonts w:ascii="楷体_GB2312" w:eastAsia="楷体_GB2312" w:hint="eastAsia"/>
          <w:b/>
          <w:bCs/>
          <w:sz w:val="32"/>
          <w:szCs w:val="32"/>
        </w:rPr>
        <w:t>责任与监督</w:t>
      </w:r>
    </w:p>
    <w:p w14:paraId="00167245" w14:textId="77777777" w:rsidR="006E5EFF" w:rsidRPr="00CE36F1"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本规定涉</w:t>
      </w:r>
      <w:r w:rsidRPr="00CE36F1">
        <w:rPr>
          <w:rFonts w:ascii="仿宋_GB2312" w:eastAsia="仿宋_GB2312" w:hint="eastAsia"/>
          <w:sz w:val="32"/>
          <w:szCs w:val="32"/>
        </w:rPr>
        <w:t>及的坡屋顶下建筑面积、住宅地下室建筑面积、挑空空间建筑面积由项目实施主体、设计单位、施工单位、测绘单位按照相关规范及“多测合一”相关规定设计、建设、测量,不得虚假设计、施工、测量。</w:t>
      </w:r>
    </w:p>
    <w:p w14:paraId="782A7789" w14:textId="77777777" w:rsidR="006E5EFF" w:rsidRDefault="006E5EFF" w:rsidP="006E5EFF">
      <w:pPr>
        <w:spacing w:line="520" w:lineRule="exact"/>
        <w:ind w:firstLineChars="200" w:firstLine="640"/>
        <w:rPr>
          <w:rFonts w:ascii="仿宋_GB2312" w:eastAsia="仿宋_GB2312"/>
          <w:sz w:val="32"/>
          <w:szCs w:val="32"/>
        </w:rPr>
      </w:pPr>
      <w:r w:rsidRPr="00CE36F1">
        <w:rPr>
          <w:rFonts w:ascii="仿宋_GB2312" w:eastAsia="仿宋_GB2312" w:hint="eastAsia"/>
          <w:sz w:val="32"/>
          <w:szCs w:val="32"/>
        </w:rPr>
        <w:t>项目实施主体负总责任,设计单位、施工单位、测绘单位对本单位工作成果的真实性、准确性、合</w:t>
      </w:r>
      <w:proofErr w:type="gramStart"/>
      <w:r w:rsidRPr="00CE36F1">
        <w:rPr>
          <w:rFonts w:ascii="仿宋_GB2312" w:eastAsia="仿宋_GB2312" w:hint="eastAsia"/>
          <w:sz w:val="32"/>
          <w:szCs w:val="32"/>
        </w:rPr>
        <w:t>规</w:t>
      </w:r>
      <w:proofErr w:type="gramEnd"/>
      <w:r w:rsidRPr="00CE36F1">
        <w:rPr>
          <w:rFonts w:ascii="仿宋_GB2312" w:eastAsia="仿宋_GB2312" w:hint="eastAsia"/>
          <w:sz w:val="32"/>
          <w:szCs w:val="32"/>
        </w:rPr>
        <w:t>性</w:t>
      </w:r>
      <w:r>
        <w:rPr>
          <w:rFonts w:ascii="仿宋_GB2312" w:eastAsia="仿宋_GB2312" w:hint="eastAsia"/>
          <w:sz w:val="32"/>
          <w:szCs w:val="32"/>
        </w:rPr>
        <w:t>各负其责。</w:t>
      </w:r>
    </w:p>
    <w:p w14:paraId="1038C500"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建设单位在项目销售环节要做到业主应知尽知，业主入住后应在居委会管理下</w:t>
      </w:r>
      <w:proofErr w:type="gramStart"/>
      <w:r>
        <w:rPr>
          <w:rFonts w:ascii="仿宋_GB2312" w:eastAsia="仿宋_GB2312" w:hint="eastAsia"/>
          <w:sz w:val="32"/>
          <w:szCs w:val="32"/>
        </w:rPr>
        <w:t>与业委会</w:t>
      </w:r>
      <w:proofErr w:type="gramEnd"/>
      <w:r>
        <w:rPr>
          <w:rFonts w:ascii="仿宋_GB2312" w:eastAsia="仿宋_GB2312" w:hint="eastAsia"/>
          <w:sz w:val="32"/>
          <w:szCs w:val="32"/>
        </w:rPr>
        <w:t>合作。</w:t>
      </w:r>
    </w:p>
    <w:p w14:paraId="6CEA466C" w14:textId="77777777" w:rsidR="006E5EFF" w:rsidRDefault="006E5EFF" w:rsidP="006E5EFF">
      <w:pPr>
        <w:spacing w:line="520" w:lineRule="exact"/>
        <w:ind w:firstLineChars="200" w:firstLine="640"/>
        <w:rPr>
          <w:rFonts w:ascii="仿宋_GB2312" w:eastAsia="仿宋_GB2312"/>
          <w:sz w:val="32"/>
          <w:szCs w:val="32"/>
        </w:rPr>
      </w:pPr>
      <w:r>
        <w:rPr>
          <w:rFonts w:ascii="仿宋_GB2312" w:eastAsia="仿宋_GB2312" w:hint="eastAsia"/>
          <w:sz w:val="32"/>
          <w:szCs w:val="32"/>
        </w:rPr>
        <w:t>项目经验收合格并投入使用后,物业行业主管部门要加强监管与指导，强化物业管理和社区共建,营造</w:t>
      </w:r>
      <w:proofErr w:type="gramStart"/>
      <w:r>
        <w:rPr>
          <w:rFonts w:ascii="仿宋_GB2312" w:eastAsia="仿宋_GB2312" w:hint="eastAsia"/>
          <w:sz w:val="32"/>
          <w:szCs w:val="32"/>
        </w:rPr>
        <w:t>和谐宜</w:t>
      </w:r>
      <w:proofErr w:type="gramEnd"/>
      <w:r>
        <w:rPr>
          <w:rFonts w:ascii="仿宋_GB2312" w:eastAsia="仿宋_GB2312" w:hint="eastAsia"/>
          <w:sz w:val="32"/>
          <w:szCs w:val="32"/>
        </w:rPr>
        <w:t>居环境，不得</w:t>
      </w:r>
      <w:proofErr w:type="gramStart"/>
      <w:r>
        <w:rPr>
          <w:rFonts w:ascii="仿宋_GB2312" w:eastAsia="仿宋_GB2312" w:hint="eastAsia"/>
          <w:sz w:val="32"/>
          <w:szCs w:val="32"/>
        </w:rPr>
        <w:t>私自对</w:t>
      </w:r>
      <w:proofErr w:type="gramEnd"/>
      <w:r>
        <w:rPr>
          <w:rFonts w:ascii="仿宋_GB2312" w:eastAsia="仿宋_GB2312" w:hint="eastAsia"/>
          <w:sz w:val="32"/>
          <w:szCs w:val="32"/>
        </w:rPr>
        <w:t>本规定涉及的建筑内部、外部结构进行改造,违反上述要求的应承担相应法律责任。</w:t>
      </w:r>
    </w:p>
    <w:p w14:paraId="6369F623" w14:textId="71450D28" w:rsidR="006E5EFF" w:rsidRDefault="006E5EFF" w:rsidP="0037166B">
      <w:pPr>
        <w:spacing w:line="520" w:lineRule="exact"/>
        <w:ind w:firstLineChars="200" w:firstLine="640"/>
        <w:rPr>
          <w:rFonts w:ascii="仿宋_GB2312" w:eastAsia="仿宋_GB2312"/>
          <w:sz w:val="32"/>
          <w:szCs w:val="32"/>
        </w:rPr>
      </w:pPr>
      <w:r w:rsidRPr="00CE36F1">
        <w:rPr>
          <w:rFonts w:ascii="仿宋_GB2312" w:eastAsia="仿宋_GB2312" w:hint="eastAsia"/>
          <w:sz w:val="32"/>
          <w:szCs w:val="32"/>
        </w:rPr>
        <w:lastRenderedPageBreak/>
        <w:t>本规定自发布之日起在金普新区范围内试行，</w:t>
      </w:r>
      <w:r w:rsidRPr="00C55922">
        <w:rPr>
          <w:rFonts w:ascii="仿宋_GB2312" w:eastAsia="仿宋_GB2312" w:hint="eastAsia"/>
          <w:sz w:val="32"/>
          <w:szCs w:val="32"/>
        </w:rPr>
        <w:t>试行</w:t>
      </w:r>
      <w:r>
        <w:rPr>
          <w:rFonts w:ascii="仿宋_GB2312" w:eastAsia="仿宋_GB2312" w:hint="eastAsia"/>
          <w:sz w:val="32"/>
          <w:szCs w:val="32"/>
        </w:rPr>
        <w:t>期</w:t>
      </w:r>
      <w:r w:rsidRPr="00C55922">
        <w:rPr>
          <w:rFonts w:ascii="仿宋_GB2312" w:eastAsia="仿宋_GB2312" w:hint="eastAsia"/>
          <w:sz w:val="32"/>
          <w:szCs w:val="32"/>
        </w:rPr>
        <w:t>2年，</w:t>
      </w:r>
      <w:r w:rsidRPr="00CE36F1">
        <w:rPr>
          <w:rFonts w:ascii="仿宋_GB2312" w:eastAsia="仿宋_GB2312" w:hint="eastAsia"/>
          <w:sz w:val="32"/>
          <w:szCs w:val="32"/>
        </w:rPr>
        <w:t>由大连市金普新区自然资源局负责解释。</w:t>
      </w:r>
    </w:p>
    <w:p w14:paraId="2C2E22F9" w14:textId="3F728BE7" w:rsidR="0037166B" w:rsidRDefault="0037166B" w:rsidP="0037166B">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三</w:t>
      </w:r>
      <w:r w:rsidRPr="00BC16F5">
        <w:rPr>
          <w:rFonts w:ascii="黑体" w:eastAsia="黑体" w:hAnsi="黑体" w:cs="Times New Roman" w:hint="eastAsia"/>
          <w:sz w:val="32"/>
          <w:szCs w:val="32"/>
        </w:rPr>
        <w:t>、</w:t>
      </w:r>
      <w:r>
        <w:rPr>
          <w:rFonts w:ascii="黑体" w:eastAsia="黑体" w:hAnsi="黑体" w:cs="Times New Roman" w:hint="eastAsia"/>
          <w:sz w:val="32"/>
          <w:szCs w:val="32"/>
        </w:rPr>
        <w:t>听取意见及意见协调处理情况</w:t>
      </w:r>
    </w:p>
    <w:p w14:paraId="691759B0" w14:textId="4033D7B4" w:rsidR="0037166B" w:rsidRPr="0037166B" w:rsidRDefault="0037166B" w:rsidP="00344ABA">
      <w:pPr>
        <w:spacing w:line="520" w:lineRule="exact"/>
        <w:ind w:firstLineChars="200" w:firstLine="640"/>
        <w:rPr>
          <w:rFonts w:ascii="仿宋_GB2312" w:eastAsia="仿宋_GB2312" w:hint="eastAsia"/>
          <w:sz w:val="32"/>
          <w:szCs w:val="32"/>
        </w:rPr>
      </w:pPr>
      <w:r w:rsidRPr="0037166B">
        <w:rPr>
          <w:rFonts w:ascii="仿宋_GB2312" w:eastAsia="仿宋_GB2312" w:hint="eastAsia"/>
          <w:sz w:val="32"/>
          <w:szCs w:val="32"/>
        </w:rPr>
        <w:t>本次政策已于2024年</w:t>
      </w:r>
      <w:r w:rsidRPr="0037166B">
        <w:rPr>
          <w:rFonts w:ascii="仿宋_GB2312" w:eastAsia="仿宋_GB2312" w:hint="eastAsia"/>
          <w:sz w:val="32"/>
          <w:szCs w:val="32"/>
        </w:rPr>
        <w:t>x</w:t>
      </w:r>
      <w:r w:rsidRPr="0037166B">
        <w:rPr>
          <w:rFonts w:ascii="仿宋_GB2312" w:eastAsia="仿宋_GB2312" w:hint="eastAsia"/>
          <w:sz w:val="32"/>
          <w:szCs w:val="32"/>
        </w:rPr>
        <w:t>月</w:t>
      </w:r>
      <w:r w:rsidRPr="0037166B">
        <w:rPr>
          <w:rFonts w:ascii="仿宋_GB2312" w:eastAsia="仿宋_GB2312" w:hint="eastAsia"/>
          <w:sz w:val="32"/>
          <w:szCs w:val="32"/>
        </w:rPr>
        <w:t>x</w:t>
      </w:r>
      <w:r w:rsidRPr="0037166B">
        <w:rPr>
          <w:rFonts w:ascii="仿宋_GB2312" w:eastAsia="仿宋_GB2312" w:hint="eastAsia"/>
          <w:sz w:val="32"/>
          <w:szCs w:val="32"/>
        </w:rPr>
        <w:t>日至2024年</w:t>
      </w:r>
      <w:r w:rsidRPr="0037166B">
        <w:rPr>
          <w:rFonts w:ascii="仿宋_GB2312" w:eastAsia="仿宋_GB2312" w:hint="eastAsia"/>
          <w:sz w:val="32"/>
          <w:szCs w:val="32"/>
        </w:rPr>
        <w:t>x</w:t>
      </w:r>
      <w:r w:rsidRPr="0037166B">
        <w:rPr>
          <w:rFonts w:ascii="仿宋_GB2312" w:eastAsia="仿宋_GB2312" w:hint="eastAsia"/>
          <w:sz w:val="32"/>
          <w:szCs w:val="32"/>
        </w:rPr>
        <w:t>月</w:t>
      </w:r>
      <w:r w:rsidRPr="0037166B">
        <w:rPr>
          <w:rFonts w:ascii="仿宋_GB2312" w:eastAsia="仿宋_GB2312" w:hint="eastAsia"/>
          <w:sz w:val="32"/>
          <w:szCs w:val="32"/>
        </w:rPr>
        <w:t>x</w:t>
      </w:r>
      <w:r w:rsidRPr="0037166B">
        <w:rPr>
          <w:rFonts w:ascii="仿宋_GB2312" w:eastAsia="仿宋_GB2312" w:hint="eastAsia"/>
          <w:sz w:val="32"/>
          <w:szCs w:val="32"/>
        </w:rPr>
        <w:t>日通过金普新区管委会网站公开征求意见和建议，并向相关单位征求意见，其中住房与城乡建设局反馈意见如下</w:t>
      </w:r>
      <w:r w:rsidR="00344ABA">
        <w:rPr>
          <w:rFonts w:ascii="仿宋_GB2312" w:eastAsia="仿宋_GB2312" w:hint="eastAsia"/>
          <w:sz w:val="32"/>
          <w:szCs w:val="32"/>
        </w:rPr>
        <w:t>。一</w:t>
      </w:r>
      <w:r w:rsidR="00344ABA" w:rsidRPr="00344ABA">
        <w:rPr>
          <w:rFonts w:ascii="仿宋_GB2312" w:eastAsia="仿宋_GB2312" w:hint="eastAsia"/>
          <w:sz w:val="32"/>
          <w:szCs w:val="32"/>
        </w:rPr>
        <w:t>、建议意见稿第一条第一款第二项后增加</w:t>
      </w:r>
      <w:r w:rsidR="00344ABA">
        <w:rPr>
          <w:rFonts w:ascii="仿宋_GB2312" w:eastAsia="仿宋_GB2312" w:hint="eastAsia"/>
          <w:sz w:val="32"/>
          <w:szCs w:val="32"/>
        </w:rPr>
        <w:t>“</w:t>
      </w:r>
      <w:r w:rsidR="00344ABA" w:rsidRPr="00344ABA">
        <w:rPr>
          <w:rFonts w:ascii="仿宋_GB2312" w:eastAsia="仿宋_GB2312" w:hint="eastAsia"/>
          <w:sz w:val="32"/>
          <w:szCs w:val="32"/>
        </w:rPr>
        <w:t>坡屋面可居住部分供热面积建议按照投影面积平均高度对供热面积进行计算</w:t>
      </w:r>
      <w:r w:rsidR="00344ABA">
        <w:rPr>
          <w:rFonts w:ascii="仿宋_GB2312" w:eastAsia="仿宋_GB2312" w:hint="eastAsia"/>
          <w:sz w:val="32"/>
          <w:szCs w:val="32"/>
        </w:rPr>
        <w:t>”</w:t>
      </w:r>
      <w:r w:rsidR="00344ABA" w:rsidRPr="00344ABA">
        <w:rPr>
          <w:rFonts w:ascii="仿宋_GB2312" w:eastAsia="仿宋_GB2312" w:hint="eastAsia"/>
          <w:sz w:val="32"/>
          <w:szCs w:val="32"/>
        </w:rPr>
        <w:t>。二、建议意见稿第一条第一款第四项后增加“建筑节能设计条件应满足《建筑节能与可再生能源利用通用规范》GB55015-2021要求。供热设施应满足挑空空间、阳台、</w:t>
      </w:r>
      <w:proofErr w:type="gramStart"/>
      <w:r w:rsidR="00344ABA" w:rsidRPr="00344ABA">
        <w:rPr>
          <w:rFonts w:ascii="仿宋_GB2312" w:eastAsia="仿宋_GB2312" w:hint="eastAsia"/>
          <w:sz w:val="32"/>
          <w:szCs w:val="32"/>
        </w:rPr>
        <w:t>凸</w:t>
      </w:r>
      <w:proofErr w:type="gramEnd"/>
      <w:r w:rsidR="00344ABA" w:rsidRPr="00344ABA">
        <w:rPr>
          <w:rFonts w:ascii="仿宋_GB2312" w:eastAsia="仿宋_GB2312" w:hint="eastAsia"/>
          <w:sz w:val="32"/>
          <w:szCs w:val="32"/>
        </w:rPr>
        <w:t>(飘)窗、地下室供热要求，并且安装供热设施</w:t>
      </w:r>
      <w:r w:rsidR="00344ABA">
        <w:rPr>
          <w:rFonts w:ascii="仿宋_GB2312" w:eastAsia="仿宋_GB2312" w:hint="eastAsia"/>
          <w:sz w:val="32"/>
          <w:szCs w:val="32"/>
        </w:rPr>
        <w:t>”</w:t>
      </w:r>
      <w:r w:rsidR="00344ABA" w:rsidRPr="00344ABA">
        <w:rPr>
          <w:rFonts w:ascii="仿宋_GB2312" w:eastAsia="仿宋_GB2312" w:hint="eastAsia"/>
          <w:sz w:val="32"/>
          <w:szCs w:val="32"/>
        </w:rPr>
        <w:t>。三、建议意见稿第一条第三款第四项后增加“各种类型空间实际建筑面积和产权面积应于房产证或测绘报告上分类注明</w:t>
      </w:r>
      <w:r w:rsidRPr="0037166B">
        <w:rPr>
          <w:rFonts w:ascii="仿宋_GB2312" w:eastAsia="仿宋_GB2312" w:hint="eastAsia"/>
          <w:sz w:val="32"/>
          <w:szCs w:val="32"/>
        </w:rPr>
        <w:t>”</w:t>
      </w:r>
      <w:r w:rsidR="00344ABA">
        <w:rPr>
          <w:rFonts w:ascii="仿宋_GB2312" w:eastAsia="仿宋_GB2312" w:hint="eastAsia"/>
          <w:sz w:val="32"/>
          <w:szCs w:val="32"/>
        </w:rPr>
        <w:t>。</w:t>
      </w:r>
    </w:p>
    <w:p w14:paraId="3FD8A82E" w14:textId="2A4E4A98" w:rsidR="0037166B" w:rsidRPr="0037166B" w:rsidRDefault="0037166B" w:rsidP="0037166B">
      <w:pPr>
        <w:spacing w:line="520" w:lineRule="exact"/>
        <w:ind w:firstLineChars="200" w:firstLine="640"/>
        <w:rPr>
          <w:rFonts w:ascii="仿宋_GB2312" w:eastAsia="仿宋_GB2312" w:hint="eastAsia"/>
          <w:sz w:val="32"/>
          <w:szCs w:val="32"/>
        </w:rPr>
      </w:pPr>
      <w:r w:rsidRPr="0037166B">
        <w:rPr>
          <w:rFonts w:ascii="仿宋_GB2312" w:eastAsia="仿宋_GB2312" w:hint="eastAsia"/>
          <w:sz w:val="32"/>
          <w:szCs w:val="32"/>
        </w:rPr>
        <w:t>经我局研究，并与住</w:t>
      </w:r>
      <w:proofErr w:type="gramStart"/>
      <w:r w:rsidRPr="0037166B">
        <w:rPr>
          <w:rFonts w:ascii="仿宋_GB2312" w:eastAsia="仿宋_GB2312" w:hint="eastAsia"/>
          <w:sz w:val="32"/>
          <w:szCs w:val="32"/>
        </w:rPr>
        <w:t>建部门</w:t>
      </w:r>
      <w:proofErr w:type="gramEnd"/>
      <w:r w:rsidRPr="0037166B">
        <w:rPr>
          <w:rFonts w:ascii="仿宋_GB2312" w:eastAsia="仿宋_GB2312" w:hint="eastAsia"/>
          <w:sz w:val="32"/>
          <w:szCs w:val="32"/>
        </w:rPr>
        <w:t>沟通，</w:t>
      </w:r>
      <w:r w:rsidR="00344ABA">
        <w:rPr>
          <w:rFonts w:ascii="仿宋_GB2312" w:eastAsia="仿宋_GB2312" w:hint="eastAsia"/>
          <w:sz w:val="32"/>
          <w:szCs w:val="32"/>
        </w:rPr>
        <w:t>前</w:t>
      </w:r>
      <w:r w:rsidRPr="0037166B">
        <w:rPr>
          <w:rFonts w:ascii="仿宋_GB2312" w:eastAsia="仿宋_GB2312" w:hint="eastAsia"/>
          <w:sz w:val="32"/>
          <w:szCs w:val="32"/>
        </w:rPr>
        <w:t>两点建议予</w:t>
      </w:r>
      <w:r w:rsidR="00344ABA">
        <w:rPr>
          <w:rFonts w:ascii="仿宋_GB2312" w:eastAsia="仿宋_GB2312" w:hint="eastAsia"/>
          <w:sz w:val="32"/>
          <w:szCs w:val="32"/>
        </w:rPr>
        <w:t>以</w:t>
      </w:r>
      <w:r w:rsidRPr="0037166B">
        <w:rPr>
          <w:rFonts w:ascii="仿宋_GB2312" w:eastAsia="仿宋_GB2312" w:hint="eastAsia"/>
          <w:sz w:val="32"/>
          <w:szCs w:val="32"/>
        </w:rPr>
        <w:t>采纳。</w:t>
      </w:r>
      <w:r w:rsidR="00344ABA">
        <w:rPr>
          <w:rFonts w:ascii="仿宋_GB2312" w:eastAsia="仿宋_GB2312" w:hint="eastAsia"/>
          <w:sz w:val="32"/>
          <w:szCs w:val="32"/>
        </w:rPr>
        <w:t>第三条建议由于不动产登记系统无法更改，不予采纳。</w:t>
      </w:r>
    </w:p>
    <w:p w14:paraId="75B8C520" w14:textId="3EA59804" w:rsidR="0037166B" w:rsidRPr="0037166B" w:rsidRDefault="0037166B" w:rsidP="0037166B">
      <w:pPr>
        <w:spacing w:line="520" w:lineRule="exact"/>
        <w:ind w:firstLineChars="200" w:firstLine="640"/>
        <w:rPr>
          <w:rFonts w:ascii="仿宋_GB2312" w:eastAsia="仿宋_GB2312"/>
          <w:sz w:val="32"/>
          <w:szCs w:val="32"/>
        </w:rPr>
      </w:pPr>
      <w:r w:rsidRPr="0037166B">
        <w:rPr>
          <w:rFonts w:ascii="仿宋_GB2312" w:eastAsia="仿宋_GB2312" w:hint="eastAsia"/>
          <w:sz w:val="32"/>
          <w:szCs w:val="32"/>
        </w:rPr>
        <w:t>综上所述，本次</w:t>
      </w:r>
      <w:r w:rsidRPr="0037166B">
        <w:rPr>
          <w:rFonts w:ascii="仿宋_GB2312" w:eastAsia="仿宋_GB2312"/>
          <w:sz w:val="32"/>
          <w:szCs w:val="32"/>
        </w:rPr>
        <w:t>政策措施的出台，</w:t>
      </w:r>
      <w:r w:rsidR="00344ABA" w:rsidRPr="00344ABA">
        <w:rPr>
          <w:rFonts w:ascii="仿宋_GB2312" w:eastAsia="仿宋_GB2312" w:hint="eastAsia"/>
          <w:sz w:val="32"/>
          <w:szCs w:val="32"/>
        </w:rPr>
        <w:t>满足</w:t>
      </w:r>
      <w:r w:rsidR="00344ABA">
        <w:rPr>
          <w:rFonts w:ascii="仿宋_GB2312" w:eastAsia="仿宋_GB2312" w:hint="eastAsia"/>
          <w:sz w:val="32"/>
          <w:szCs w:val="32"/>
        </w:rPr>
        <w:t>了</w:t>
      </w:r>
      <w:r w:rsidR="00344ABA" w:rsidRPr="00344ABA">
        <w:rPr>
          <w:rFonts w:ascii="仿宋_GB2312" w:eastAsia="仿宋_GB2312" w:hint="eastAsia"/>
          <w:sz w:val="32"/>
          <w:szCs w:val="32"/>
        </w:rPr>
        <w:t>人民</w:t>
      </w:r>
      <w:r w:rsidR="00344ABA">
        <w:rPr>
          <w:rFonts w:ascii="仿宋_GB2312" w:eastAsia="仿宋_GB2312" w:hint="eastAsia"/>
          <w:sz w:val="32"/>
          <w:szCs w:val="32"/>
        </w:rPr>
        <w:t>对</w:t>
      </w:r>
      <w:r w:rsidR="00344ABA" w:rsidRPr="00344ABA">
        <w:rPr>
          <w:rFonts w:ascii="仿宋_GB2312" w:eastAsia="仿宋_GB2312" w:hint="eastAsia"/>
          <w:sz w:val="32"/>
          <w:szCs w:val="32"/>
        </w:rPr>
        <w:t>“住好房子”的需求,进一步提升</w:t>
      </w:r>
      <w:r w:rsidR="00344ABA">
        <w:rPr>
          <w:rFonts w:ascii="仿宋_GB2312" w:eastAsia="仿宋_GB2312" w:hint="eastAsia"/>
          <w:sz w:val="32"/>
          <w:szCs w:val="32"/>
        </w:rPr>
        <w:t>了</w:t>
      </w:r>
      <w:r w:rsidR="00344ABA" w:rsidRPr="00344ABA">
        <w:rPr>
          <w:rFonts w:ascii="仿宋_GB2312" w:eastAsia="仿宋_GB2312" w:hint="eastAsia"/>
          <w:sz w:val="32"/>
          <w:szCs w:val="32"/>
        </w:rPr>
        <w:t>居民“获得感”，</w:t>
      </w:r>
      <w:r w:rsidR="00344ABA">
        <w:rPr>
          <w:rFonts w:ascii="仿宋_GB2312" w:eastAsia="仿宋_GB2312" w:hint="eastAsia"/>
          <w:sz w:val="32"/>
          <w:szCs w:val="32"/>
        </w:rPr>
        <w:t>可</w:t>
      </w:r>
      <w:r w:rsidRPr="0037166B">
        <w:rPr>
          <w:rFonts w:ascii="仿宋_GB2312" w:eastAsia="仿宋_GB2312" w:hint="eastAsia"/>
          <w:sz w:val="32"/>
          <w:szCs w:val="32"/>
        </w:rPr>
        <w:t>提高</w:t>
      </w:r>
      <w:r w:rsidRPr="0037166B">
        <w:rPr>
          <w:rFonts w:ascii="仿宋_GB2312" w:eastAsia="仿宋_GB2312"/>
          <w:sz w:val="32"/>
          <w:szCs w:val="32"/>
        </w:rPr>
        <w:t>新区的</w:t>
      </w:r>
      <w:r w:rsidR="00344ABA">
        <w:rPr>
          <w:rFonts w:ascii="仿宋_GB2312" w:eastAsia="仿宋_GB2312" w:hint="eastAsia"/>
          <w:sz w:val="32"/>
          <w:szCs w:val="32"/>
        </w:rPr>
        <w:t>整体住宅</w:t>
      </w:r>
      <w:r w:rsidRPr="0037166B">
        <w:rPr>
          <w:rFonts w:ascii="仿宋_GB2312" w:eastAsia="仿宋_GB2312"/>
          <w:sz w:val="32"/>
          <w:szCs w:val="32"/>
        </w:rPr>
        <w:t>水平，为新区</w:t>
      </w:r>
      <w:r w:rsidR="00344ABA">
        <w:rPr>
          <w:rFonts w:ascii="仿宋_GB2312" w:eastAsia="仿宋_GB2312" w:hint="eastAsia"/>
          <w:sz w:val="32"/>
          <w:szCs w:val="32"/>
        </w:rPr>
        <w:t>打造优质住宅</w:t>
      </w:r>
      <w:r w:rsidRPr="0037166B">
        <w:rPr>
          <w:rFonts w:ascii="仿宋_GB2312" w:eastAsia="仿宋_GB2312"/>
          <w:sz w:val="32"/>
          <w:szCs w:val="32"/>
        </w:rPr>
        <w:t>提供政策支持。</w:t>
      </w:r>
    </w:p>
    <w:p w14:paraId="5D2694FA" w14:textId="77777777" w:rsidR="0037166B" w:rsidRPr="0037166B" w:rsidRDefault="0037166B" w:rsidP="0037166B">
      <w:pPr>
        <w:spacing w:line="520" w:lineRule="exact"/>
        <w:ind w:firstLineChars="200" w:firstLine="640"/>
        <w:rPr>
          <w:rFonts w:ascii="仿宋_GB2312" w:eastAsia="仿宋_GB2312" w:hint="eastAsia"/>
          <w:sz w:val="32"/>
          <w:szCs w:val="32"/>
        </w:rPr>
      </w:pPr>
    </w:p>
    <w:p w14:paraId="3C845AD3" w14:textId="77777777" w:rsidR="006E5EFF" w:rsidRPr="006E5EFF" w:rsidRDefault="006E5EFF" w:rsidP="00B82A12">
      <w:pPr>
        <w:ind w:firstLineChars="200" w:firstLine="640"/>
        <w:rPr>
          <w:rFonts w:ascii="黑体" w:eastAsia="黑体" w:hAnsi="黑体" w:cs="Times New Roman" w:hint="eastAsia"/>
          <w:sz w:val="32"/>
          <w:szCs w:val="32"/>
        </w:rPr>
      </w:pPr>
    </w:p>
    <w:sectPr w:rsidR="006E5EFF" w:rsidRPr="006E5EFF" w:rsidSect="00A46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99D8" w14:textId="77777777" w:rsidR="0083465D" w:rsidRDefault="0083465D" w:rsidP="00FE6A7E">
      <w:r>
        <w:separator/>
      </w:r>
    </w:p>
  </w:endnote>
  <w:endnote w:type="continuationSeparator" w:id="0">
    <w:p w14:paraId="0435757B" w14:textId="77777777" w:rsidR="0083465D" w:rsidRDefault="0083465D" w:rsidP="00FE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F7060" w14:textId="77777777" w:rsidR="0083465D" w:rsidRDefault="0083465D" w:rsidP="00FE6A7E">
      <w:r>
        <w:separator/>
      </w:r>
    </w:p>
  </w:footnote>
  <w:footnote w:type="continuationSeparator" w:id="0">
    <w:p w14:paraId="4AC648D7" w14:textId="77777777" w:rsidR="0083465D" w:rsidRDefault="0083465D" w:rsidP="00FE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83E"/>
    <w:multiLevelType w:val="hybridMultilevel"/>
    <w:tmpl w:val="BF885BE4"/>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 w15:restartNumberingAfterBreak="0">
    <w:nsid w:val="1BF53FB2"/>
    <w:multiLevelType w:val="hybridMultilevel"/>
    <w:tmpl w:val="DFC8B010"/>
    <w:lvl w:ilvl="0" w:tplc="C29C5158">
      <w:start w:val="1"/>
      <w:numFmt w:val="decimal"/>
      <w:lvlText w:val="（%1）"/>
      <w:lvlJc w:val="left"/>
      <w:pPr>
        <w:ind w:left="1080" w:hanging="440"/>
      </w:pPr>
      <w:rPr>
        <w:rFonts w:ascii="仿宋_GB2312" w:eastAsia="仿宋_GB2312" w:hAnsiTheme="minorHAnsi" w:cstheme="minorBidi"/>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 w15:restartNumberingAfterBreak="0">
    <w:nsid w:val="1EE91410"/>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3" w15:restartNumberingAfterBreak="0">
    <w:nsid w:val="256E2380"/>
    <w:multiLevelType w:val="hybridMultilevel"/>
    <w:tmpl w:val="D6A4F950"/>
    <w:lvl w:ilvl="0" w:tplc="A63AB268">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816025E"/>
    <w:multiLevelType w:val="hybridMultilevel"/>
    <w:tmpl w:val="D9866108"/>
    <w:lvl w:ilvl="0" w:tplc="08948304">
      <w:start w:val="6"/>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350D78A6"/>
    <w:multiLevelType w:val="hybridMultilevel"/>
    <w:tmpl w:val="DC02E864"/>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6" w15:restartNumberingAfterBreak="0">
    <w:nsid w:val="3D5813B2"/>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7" w15:restartNumberingAfterBreak="0">
    <w:nsid w:val="41EE138F"/>
    <w:multiLevelType w:val="hybridMultilevel"/>
    <w:tmpl w:val="103AE1CC"/>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8" w15:restartNumberingAfterBreak="0">
    <w:nsid w:val="42E75B25"/>
    <w:multiLevelType w:val="hybridMultilevel"/>
    <w:tmpl w:val="DFC8B010"/>
    <w:lvl w:ilvl="0" w:tplc="FFFFFFFF">
      <w:start w:val="1"/>
      <w:numFmt w:val="decimal"/>
      <w:lvlText w:val="（%1）"/>
      <w:lvlJc w:val="left"/>
      <w:pPr>
        <w:ind w:left="1080" w:hanging="440"/>
      </w:pPr>
      <w:rPr>
        <w:rFonts w:ascii="仿宋_GB2312" w:eastAsia="仿宋_GB2312" w:hAnsiTheme="minorHAnsi" w:cstheme="minorBidi"/>
      </w:rPr>
    </w:lvl>
    <w:lvl w:ilvl="1" w:tplc="FFFFFFFF" w:tentative="1">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1960" w:hanging="440"/>
      </w:pPr>
      <w:rPr>
        <w:rFonts w:ascii="Wingdings" w:hAnsi="Wingdings" w:hint="default"/>
      </w:rPr>
    </w:lvl>
    <w:lvl w:ilvl="3" w:tplc="FFFFFFFF" w:tentative="1">
      <w:start w:val="1"/>
      <w:numFmt w:val="bullet"/>
      <w:lvlText w:val=""/>
      <w:lvlJc w:val="left"/>
      <w:pPr>
        <w:ind w:left="2400" w:hanging="440"/>
      </w:pPr>
      <w:rPr>
        <w:rFonts w:ascii="Wingdings" w:hAnsi="Wingdings" w:hint="default"/>
      </w:rPr>
    </w:lvl>
    <w:lvl w:ilvl="4" w:tplc="FFFFFFFF" w:tentative="1">
      <w:start w:val="1"/>
      <w:numFmt w:val="bullet"/>
      <w:lvlText w:val=""/>
      <w:lvlJc w:val="left"/>
      <w:pPr>
        <w:ind w:left="2840" w:hanging="440"/>
      </w:pPr>
      <w:rPr>
        <w:rFonts w:ascii="Wingdings" w:hAnsi="Wingdings" w:hint="default"/>
      </w:rPr>
    </w:lvl>
    <w:lvl w:ilvl="5" w:tplc="FFFFFFFF" w:tentative="1">
      <w:start w:val="1"/>
      <w:numFmt w:val="bullet"/>
      <w:lvlText w:val=""/>
      <w:lvlJc w:val="left"/>
      <w:pPr>
        <w:ind w:left="3280" w:hanging="440"/>
      </w:pPr>
      <w:rPr>
        <w:rFonts w:ascii="Wingdings" w:hAnsi="Wingdings" w:hint="default"/>
      </w:rPr>
    </w:lvl>
    <w:lvl w:ilvl="6" w:tplc="FFFFFFFF" w:tentative="1">
      <w:start w:val="1"/>
      <w:numFmt w:val="bullet"/>
      <w:lvlText w:val=""/>
      <w:lvlJc w:val="left"/>
      <w:pPr>
        <w:ind w:left="3720" w:hanging="440"/>
      </w:pPr>
      <w:rPr>
        <w:rFonts w:ascii="Wingdings" w:hAnsi="Wingdings" w:hint="default"/>
      </w:rPr>
    </w:lvl>
    <w:lvl w:ilvl="7" w:tplc="FFFFFFFF" w:tentative="1">
      <w:start w:val="1"/>
      <w:numFmt w:val="bullet"/>
      <w:lvlText w:val=""/>
      <w:lvlJc w:val="left"/>
      <w:pPr>
        <w:ind w:left="4160" w:hanging="440"/>
      </w:pPr>
      <w:rPr>
        <w:rFonts w:ascii="Wingdings" w:hAnsi="Wingdings" w:hint="default"/>
      </w:rPr>
    </w:lvl>
    <w:lvl w:ilvl="8" w:tplc="FFFFFFFF" w:tentative="1">
      <w:start w:val="1"/>
      <w:numFmt w:val="bullet"/>
      <w:lvlText w:val=""/>
      <w:lvlJc w:val="left"/>
      <w:pPr>
        <w:ind w:left="4600" w:hanging="440"/>
      </w:pPr>
      <w:rPr>
        <w:rFonts w:ascii="Wingdings" w:hAnsi="Wingdings" w:hint="default"/>
      </w:rPr>
    </w:lvl>
  </w:abstractNum>
  <w:abstractNum w:abstractNumId="9" w15:restartNumberingAfterBreak="0">
    <w:nsid w:val="431717DA"/>
    <w:multiLevelType w:val="hybridMultilevel"/>
    <w:tmpl w:val="7326117C"/>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0" w15:restartNumberingAfterBreak="0">
    <w:nsid w:val="6F500E89"/>
    <w:multiLevelType w:val="hybridMultilevel"/>
    <w:tmpl w:val="8D56B54A"/>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num w:numId="1" w16cid:durableId="971983700">
    <w:abstractNumId w:val="10"/>
  </w:num>
  <w:num w:numId="2" w16cid:durableId="33620396">
    <w:abstractNumId w:val="4"/>
  </w:num>
  <w:num w:numId="3" w16cid:durableId="992223670">
    <w:abstractNumId w:val="0"/>
  </w:num>
  <w:num w:numId="4" w16cid:durableId="1379624365">
    <w:abstractNumId w:val="3"/>
  </w:num>
  <w:num w:numId="5" w16cid:durableId="236985104">
    <w:abstractNumId w:val="7"/>
  </w:num>
  <w:num w:numId="6" w16cid:durableId="800684251">
    <w:abstractNumId w:val="5"/>
  </w:num>
  <w:num w:numId="7" w16cid:durableId="1765226832">
    <w:abstractNumId w:val="1"/>
  </w:num>
  <w:num w:numId="8" w16cid:durableId="875895365">
    <w:abstractNumId w:val="9"/>
  </w:num>
  <w:num w:numId="9" w16cid:durableId="1613902013">
    <w:abstractNumId w:val="2"/>
  </w:num>
  <w:num w:numId="10" w16cid:durableId="1477257745">
    <w:abstractNumId w:val="8"/>
  </w:num>
  <w:num w:numId="11" w16cid:durableId="1305936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RkZTJkNWIxNWZmYmQwOGZjMDVlZWU0MGFlOWUyYjIifQ=="/>
  </w:docVars>
  <w:rsids>
    <w:rsidRoot w:val="7473477B"/>
    <w:rsid w:val="8C3609F0"/>
    <w:rsid w:val="97DA0909"/>
    <w:rsid w:val="9D4B5CFF"/>
    <w:rsid w:val="ADBD2509"/>
    <w:rsid w:val="BA7B23C6"/>
    <w:rsid w:val="C9E79EE0"/>
    <w:rsid w:val="CFAD929A"/>
    <w:rsid w:val="CFF6C05E"/>
    <w:rsid w:val="D9C70C61"/>
    <w:rsid w:val="DAFF70A2"/>
    <w:rsid w:val="E7FEA749"/>
    <w:rsid w:val="EEFFBFA5"/>
    <w:rsid w:val="EF3F5D01"/>
    <w:rsid w:val="F5F5F53C"/>
    <w:rsid w:val="F7E79B10"/>
    <w:rsid w:val="F8FA8956"/>
    <w:rsid w:val="FE734873"/>
    <w:rsid w:val="FE8EB343"/>
    <w:rsid w:val="FEDEE2E7"/>
    <w:rsid w:val="FFE20168"/>
    <w:rsid w:val="000049D0"/>
    <w:rsid w:val="00010CEB"/>
    <w:rsid w:val="00012710"/>
    <w:rsid w:val="00023DB6"/>
    <w:rsid w:val="000265CF"/>
    <w:rsid w:val="00032330"/>
    <w:rsid w:val="00051CB2"/>
    <w:rsid w:val="000769CC"/>
    <w:rsid w:val="00093648"/>
    <w:rsid w:val="000936E2"/>
    <w:rsid w:val="00097CBA"/>
    <w:rsid w:val="000A21AC"/>
    <w:rsid w:val="000D1D3D"/>
    <w:rsid w:val="000E5AE5"/>
    <w:rsid w:val="00101003"/>
    <w:rsid w:val="00104FAA"/>
    <w:rsid w:val="00115934"/>
    <w:rsid w:val="0012582A"/>
    <w:rsid w:val="00126982"/>
    <w:rsid w:val="00134D31"/>
    <w:rsid w:val="001359B7"/>
    <w:rsid w:val="00144BA6"/>
    <w:rsid w:val="0016336D"/>
    <w:rsid w:val="00176880"/>
    <w:rsid w:val="00185EB4"/>
    <w:rsid w:val="00191E82"/>
    <w:rsid w:val="001C174B"/>
    <w:rsid w:val="001C17BE"/>
    <w:rsid w:val="001D6551"/>
    <w:rsid w:val="00200FA6"/>
    <w:rsid w:val="0020322F"/>
    <w:rsid w:val="002035EC"/>
    <w:rsid w:val="00206087"/>
    <w:rsid w:val="00206816"/>
    <w:rsid w:val="00214621"/>
    <w:rsid w:val="00214FEB"/>
    <w:rsid w:val="002218E8"/>
    <w:rsid w:val="00226F0F"/>
    <w:rsid w:val="00231EA4"/>
    <w:rsid w:val="0026485B"/>
    <w:rsid w:val="0026770A"/>
    <w:rsid w:val="002744BA"/>
    <w:rsid w:val="0027776C"/>
    <w:rsid w:val="00281A49"/>
    <w:rsid w:val="00283C28"/>
    <w:rsid w:val="0029142E"/>
    <w:rsid w:val="00294946"/>
    <w:rsid w:val="002A2C38"/>
    <w:rsid w:val="002B4EE8"/>
    <w:rsid w:val="002D144B"/>
    <w:rsid w:val="002D67F9"/>
    <w:rsid w:val="002F194A"/>
    <w:rsid w:val="00307EB0"/>
    <w:rsid w:val="003179BA"/>
    <w:rsid w:val="003404EF"/>
    <w:rsid w:val="00344ABA"/>
    <w:rsid w:val="003544EE"/>
    <w:rsid w:val="00361C37"/>
    <w:rsid w:val="0037166B"/>
    <w:rsid w:val="003719D9"/>
    <w:rsid w:val="00377E38"/>
    <w:rsid w:val="003A1162"/>
    <w:rsid w:val="003F615B"/>
    <w:rsid w:val="0040022F"/>
    <w:rsid w:val="004050B9"/>
    <w:rsid w:val="00414F42"/>
    <w:rsid w:val="004257F7"/>
    <w:rsid w:val="00442694"/>
    <w:rsid w:val="00442BF9"/>
    <w:rsid w:val="004435EB"/>
    <w:rsid w:val="00461D77"/>
    <w:rsid w:val="00476F2C"/>
    <w:rsid w:val="00477C68"/>
    <w:rsid w:val="00481A9E"/>
    <w:rsid w:val="004821FC"/>
    <w:rsid w:val="004A3787"/>
    <w:rsid w:val="004B1E95"/>
    <w:rsid w:val="004C5A63"/>
    <w:rsid w:val="004E698D"/>
    <w:rsid w:val="004E6FE6"/>
    <w:rsid w:val="004E7FCD"/>
    <w:rsid w:val="004F5CA2"/>
    <w:rsid w:val="00506BDC"/>
    <w:rsid w:val="005174C8"/>
    <w:rsid w:val="00522BB0"/>
    <w:rsid w:val="005408E7"/>
    <w:rsid w:val="00540FD6"/>
    <w:rsid w:val="00576383"/>
    <w:rsid w:val="005870E2"/>
    <w:rsid w:val="005A2931"/>
    <w:rsid w:val="005C197C"/>
    <w:rsid w:val="005C4830"/>
    <w:rsid w:val="005C57E1"/>
    <w:rsid w:val="005C7BFB"/>
    <w:rsid w:val="005D723D"/>
    <w:rsid w:val="005E5330"/>
    <w:rsid w:val="005F1CB9"/>
    <w:rsid w:val="0060455F"/>
    <w:rsid w:val="006245DA"/>
    <w:rsid w:val="006305DE"/>
    <w:rsid w:val="006371D9"/>
    <w:rsid w:val="00650131"/>
    <w:rsid w:val="00655AFC"/>
    <w:rsid w:val="00674574"/>
    <w:rsid w:val="006803C6"/>
    <w:rsid w:val="006A28A6"/>
    <w:rsid w:val="006E0F46"/>
    <w:rsid w:val="006E5EFF"/>
    <w:rsid w:val="006F0936"/>
    <w:rsid w:val="006F5AEA"/>
    <w:rsid w:val="00702D5A"/>
    <w:rsid w:val="0071552B"/>
    <w:rsid w:val="007160C0"/>
    <w:rsid w:val="007352B1"/>
    <w:rsid w:val="0074317A"/>
    <w:rsid w:val="00746CB7"/>
    <w:rsid w:val="007509DA"/>
    <w:rsid w:val="00762047"/>
    <w:rsid w:val="0077279B"/>
    <w:rsid w:val="00781DFA"/>
    <w:rsid w:val="007B0EBD"/>
    <w:rsid w:val="007F2869"/>
    <w:rsid w:val="0080022A"/>
    <w:rsid w:val="008145AA"/>
    <w:rsid w:val="008158D9"/>
    <w:rsid w:val="008229F4"/>
    <w:rsid w:val="008302C3"/>
    <w:rsid w:val="008320D0"/>
    <w:rsid w:val="0083465D"/>
    <w:rsid w:val="0083584C"/>
    <w:rsid w:val="0084269A"/>
    <w:rsid w:val="00843630"/>
    <w:rsid w:val="00863CE1"/>
    <w:rsid w:val="00881364"/>
    <w:rsid w:val="008C650D"/>
    <w:rsid w:val="008C66CF"/>
    <w:rsid w:val="00910CA0"/>
    <w:rsid w:val="0091208E"/>
    <w:rsid w:val="00913431"/>
    <w:rsid w:val="00944705"/>
    <w:rsid w:val="00973799"/>
    <w:rsid w:val="00973F0D"/>
    <w:rsid w:val="00984438"/>
    <w:rsid w:val="009901FE"/>
    <w:rsid w:val="00990CD8"/>
    <w:rsid w:val="00991C0D"/>
    <w:rsid w:val="00996B80"/>
    <w:rsid w:val="009B25EC"/>
    <w:rsid w:val="009C223F"/>
    <w:rsid w:val="009C35D0"/>
    <w:rsid w:val="009D6977"/>
    <w:rsid w:val="00A115D3"/>
    <w:rsid w:val="00A12000"/>
    <w:rsid w:val="00A14AF8"/>
    <w:rsid w:val="00A16F58"/>
    <w:rsid w:val="00A26C0E"/>
    <w:rsid w:val="00A342EF"/>
    <w:rsid w:val="00A4577C"/>
    <w:rsid w:val="00A46375"/>
    <w:rsid w:val="00A6215F"/>
    <w:rsid w:val="00A66D56"/>
    <w:rsid w:val="00A84A99"/>
    <w:rsid w:val="00A86B18"/>
    <w:rsid w:val="00AE425F"/>
    <w:rsid w:val="00B242D5"/>
    <w:rsid w:val="00B26033"/>
    <w:rsid w:val="00B2734E"/>
    <w:rsid w:val="00B351D5"/>
    <w:rsid w:val="00B60D0F"/>
    <w:rsid w:val="00B82A12"/>
    <w:rsid w:val="00B873CC"/>
    <w:rsid w:val="00B92829"/>
    <w:rsid w:val="00B96C98"/>
    <w:rsid w:val="00BC16F5"/>
    <w:rsid w:val="00BD1448"/>
    <w:rsid w:val="00BD29F9"/>
    <w:rsid w:val="00C2029C"/>
    <w:rsid w:val="00C20F1F"/>
    <w:rsid w:val="00C466BF"/>
    <w:rsid w:val="00C5074C"/>
    <w:rsid w:val="00C535A7"/>
    <w:rsid w:val="00C55922"/>
    <w:rsid w:val="00C763F6"/>
    <w:rsid w:val="00C76B0C"/>
    <w:rsid w:val="00C8045E"/>
    <w:rsid w:val="00C91065"/>
    <w:rsid w:val="00C963CF"/>
    <w:rsid w:val="00CC5A44"/>
    <w:rsid w:val="00CC5FF2"/>
    <w:rsid w:val="00CC6EC2"/>
    <w:rsid w:val="00CD17DF"/>
    <w:rsid w:val="00CE36F1"/>
    <w:rsid w:val="00CF1A7C"/>
    <w:rsid w:val="00D2031F"/>
    <w:rsid w:val="00D27EA8"/>
    <w:rsid w:val="00D50249"/>
    <w:rsid w:val="00D57DD7"/>
    <w:rsid w:val="00D6261B"/>
    <w:rsid w:val="00D82054"/>
    <w:rsid w:val="00D820F2"/>
    <w:rsid w:val="00D85F30"/>
    <w:rsid w:val="00D86893"/>
    <w:rsid w:val="00D90A99"/>
    <w:rsid w:val="00DA22FD"/>
    <w:rsid w:val="00DA29DE"/>
    <w:rsid w:val="00DB0A33"/>
    <w:rsid w:val="00DB3A63"/>
    <w:rsid w:val="00DC5848"/>
    <w:rsid w:val="00DE070A"/>
    <w:rsid w:val="00DF274E"/>
    <w:rsid w:val="00DF4B0D"/>
    <w:rsid w:val="00E02490"/>
    <w:rsid w:val="00E13DA4"/>
    <w:rsid w:val="00E22962"/>
    <w:rsid w:val="00E25562"/>
    <w:rsid w:val="00E30060"/>
    <w:rsid w:val="00E46F1B"/>
    <w:rsid w:val="00E516B7"/>
    <w:rsid w:val="00E52D73"/>
    <w:rsid w:val="00E85AFD"/>
    <w:rsid w:val="00ED7C60"/>
    <w:rsid w:val="00EE2378"/>
    <w:rsid w:val="00F02431"/>
    <w:rsid w:val="00F2481A"/>
    <w:rsid w:val="00F32307"/>
    <w:rsid w:val="00F50675"/>
    <w:rsid w:val="00F7136D"/>
    <w:rsid w:val="00F7246D"/>
    <w:rsid w:val="00F7445E"/>
    <w:rsid w:val="00F84CE6"/>
    <w:rsid w:val="00F873B1"/>
    <w:rsid w:val="00F97A5C"/>
    <w:rsid w:val="00FA2F99"/>
    <w:rsid w:val="00FE3D66"/>
    <w:rsid w:val="00FE6A7E"/>
    <w:rsid w:val="00FF2428"/>
    <w:rsid w:val="00FF4AE4"/>
    <w:rsid w:val="00FF5B4B"/>
    <w:rsid w:val="0FDB3010"/>
    <w:rsid w:val="1BFD7E36"/>
    <w:rsid w:val="29C843C4"/>
    <w:rsid w:val="2FCF0CB0"/>
    <w:rsid w:val="3D7F811A"/>
    <w:rsid w:val="3FF93EAE"/>
    <w:rsid w:val="4FDD6978"/>
    <w:rsid w:val="5EEAC3BF"/>
    <w:rsid w:val="5F5EBCA1"/>
    <w:rsid w:val="67FD278A"/>
    <w:rsid w:val="6A4A23BF"/>
    <w:rsid w:val="6BFB36D7"/>
    <w:rsid w:val="711F6B9A"/>
    <w:rsid w:val="7473477B"/>
    <w:rsid w:val="75FF63D5"/>
    <w:rsid w:val="775A3146"/>
    <w:rsid w:val="7CB52D19"/>
    <w:rsid w:val="7EF5B689"/>
    <w:rsid w:val="7F7E0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F50B0"/>
  <w15:docId w15:val="{05B43634-1496-4969-854F-C236C0D7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3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A4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header"/>
    <w:basedOn w:val="a"/>
    <w:link w:val="a4"/>
    <w:rsid w:val="00FE6A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6A7E"/>
    <w:rPr>
      <w:rFonts w:asciiTheme="minorHAnsi" w:eastAsiaTheme="minorEastAsia" w:hAnsiTheme="minorHAnsi" w:cstheme="minorBidi"/>
      <w:kern w:val="2"/>
      <w:sz w:val="18"/>
      <w:szCs w:val="18"/>
    </w:rPr>
  </w:style>
  <w:style w:type="paragraph" w:styleId="a5">
    <w:name w:val="footer"/>
    <w:basedOn w:val="a"/>
    <w:link w:val="a6"/>
    <w:rsid w:val="00FE6A7E"/>
    <w:pPr>
      <w:tabs>
        <w:tab w:val="center" w:pos="4153"/>
        <w:tab w:val="right" w:pos="8306"/>
      </w:tabs>
      <w:snapToGrid w:val="0"/>
      <w:jc w:val="left"/>
    </w:pPr>
    <w:rPr>
      <w:sz w:val="18"/>
      <w:szCs w:val="18"/>
    </w:rPr>
  </w:style>
  <w:style w:type="character" w:customStyle="1" w:styleId="a6">
    <w:name w:val="页脚 字符"/>
    <w:basedOn w:val="a0"/>
    <w:link w:val="a5"/>
    <w:rsid w:val="00FE6A7E"/>
    <w:rPr>
      <w:rFonts w:asciiTheme="minorHAnsi" w:eastAsiaTheme="minorEastAsia" w:hAnsiTheme="minorHAnsi" w:cstheme="minorBidi"/>
      <w:kern w:val="2"/>
      <w:sz w:val="18"/>
      <w:szCs w:val="18"/>
    </w:rPr>
  </w:style>
  <w:style w:type="paragraph" w:styleId="a7">
    <w:name w:val="List Paragraph"/>
    <w:basedOn w:val="a"/>
    <w:uiPriority w:val="99"/>
    <w:unhideWhenUsed/>
    <w:rsid w:val="00C507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57113">
      <w:bodyDiv w:val="1"/>
      <w:marLeft w:val="0"/>
      <w:marRight w:val="0"/>
      <w:marTop w:val="0"/>
      <w:marBottom w:val="0"/>
      <w:divBdr>
        <w:top w:val="none" w:sz="0" w:space="0" w:color="auto"/>
        <w:left w:val="none" w:sz="0" w:space="0" w:color="auto"/>
        <w:bottom w:val="none" w:sz="0" w:space="0" w:color="auto"/>
        <w:right w:val="none" w:sz="0" w:space="0" w:color="auto"/>
      </w:divBdr>
    </w:div>
    <w:div w:id="525296095">
      <w:bodyDiv w:val="1"/>
      <w:marLeft w:val="0"/>
      <w:marRight w:val="0"/>
      <w:marTop w:val="0"/>
      <w:marBottom w:val="0"/>
      <w:divBdr>
        <w:top w:val="none" w:sz="0" w:space="0" w:color="auto"/>
        <w:left w:val="none" w:sz="0" w:space="0" w:color="auto"/>
        <w:bottom w:val="none" w:sz="0" w:space="0" w:color="auto"/>
        <w:right w:val="none" w:sz="0" w:space="0" w:color="auto"/>
      </w:divBdr>
    </w:div>
    <w:div w:id="593515463">
      <w:bodyDiv w:val="1"/>
      <w:marLeft w:val="0"/>
      <w:marRight w:val="0"/>
      <w:marTop w:val="0"/>
      <w:marBottom w:val="0"/>
      <w:divBdr>
        <w:top w:val="none" w:sz="0" w:space="0" w:color="auto"/>
        <w:left w:val="none" w:sz="0" w:space="0" w:color="auto"/>
        <w:bottom w:val="none" w:sz="0" w:space="0" w:color="auto"/>
        <w:right w:val="none" w:sz="0" w:space="0" w:color="auto"/>
      </w:divBdr>
    </w:div>
    <w:div w:id="921987092">
      <w:bodyDiv w:val="1"/>
      <w:marLeft w:val="0"/>
      <w:marRight w:val="0"/>
      <w:marTop w:val="0"/>
      <w:marBottom w:val="0"/>
      <w:divBdr>
        <w:top w:val="none" w:sz="0" w:space="0" w:color="auto"/>
        <w:left w:val="none" w:sz="0" w:space="0" w:color="auto"/>
        <w:bottom w:val="none" w:sz="0" w:space="0" w:color="auto"/>
        <w:right w:val="none" w:sz="0" w:space="0" w:color="auto"/>
      </w:divBdr>
    </w:div>
    <w:div w:id="1454865621">
      <w:bodyDiv w:val="1"/>
      <w:marLeft w:val="0"/>
      <w:marRight w:val="0"/>
      <w:marTop w:val="0"/>
      <w:marBottom w:val="0"/>
      <w:divBdr>
        <w:top w:val="none" w:sz="0" w:space="0" w:color="auto"/>
        <w:left w:val="none" w:sz="0" w:space="0" w:color="auto"/>
        <w:bottom w:val="none" w:sz="0" w:space="0" w:color="auto"/>
        <w:right w:val="none" w:sz="0" w:space="0" w:color="auto"/>
      </w:divBdr>
    </w:div>
    <w:div w:id="207797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6CCE8-0193-4ABD-8CB7-32A15CF4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484</Words>
  <Characters>2762</Characters>
  <Application>Microsoft Office Word</Application>
  <DocSecurity>0</DocSecurity>
  <Lines>23</Lines>
  <Paragraphs>6</Paragraphs>
  <ScaleCrop>false</ScaleCrop>
  <Company>MS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falling down</dc:creator>
  <cp:lastModifiedBy>8618042651608</cp:lastModifiedBy>
  <cp:revision>46</cp:revision>
  <cp:lastPrinted>2024-09-23T06:54:00Z</cp:lastPrinted>
  <dcterms:created xsi:type="dcterms:W3CDTF">2024-10-23T09:46:00Z</dcterms:created>
  <dcterms:modified xsi:type="dcterms:W3CDTF">2024-12-06T03:22:00Z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CA2FCCC7D3EC48C2864C9043C446D0DD_12</vt:lpwstr>
  </property>
</Properties>
</file>